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default" w:eastAsia="黑体"/>
          <w:b/>
          <w:color w:val="auto"/>
          <w:sz w:val="36"/>
          <w:highlight w:val="none"/>
          <w:lang w:val="en-US" w:eastAsia="zh-CN"/>
        </w:rPr>
      </w:pPr>
      <w:r>
        <w:rPr>
          <w:rFonts w:hint="eastAsia" w:eastAsia="黑体"/>
          <w:b/>
          <w:color w:val="auto"/>
          <w:sz w:val="28"/>
          <w:highlight w:val="none"/>
        </w:rPr>
        <w:drawing>
          <wp:inline distT="0" distB="0" distL="114300" distR="114300">
            <wp:extent cx="533400" cy="514350"/>
            <wp:effectExtent l="0" t="0" r="0" b="0"/>
            <wp:docPr id="2" name="Picture 2" descr="三方诚信标志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三方诚信标志01"/>
                    <pic:cNvPicPr>
                      <a:picLocks noChangeAspect="1" noChangeArrowheads="1"/>
                    </pic:cNvPicPr>
                  </pic:nvPicPr>
                  <pic:blipFill>
                    <a:blip r:embed="rId8" cstate="print"/>
                    <a:srcRect/>
                    <a:stretch>
                      <a:fillRect/>
                    </a:stretch>
                  </pic:blipFill>
                  <pic:spPr>
                    <a:xfrm>
                      <a:off x="0" y="0"/>
                      <a:ext cx="533400" cy="514350"/>
                    </a:xfrm>
                    <a:prstGeom prst="rect">
                      <a:avLst/>
                    </a:prstGeom>
                    <a:noFill/>
                    <a:ln w="9525">
                      <a:noFill/>
                      <a:miter lim="800000"/>
                      <a:headEnd/>
                      <a:tailEnd/>
                    </a:ln>
                  </pic:spPr>
                </pic:pic>
              </a:graphicData>
            </a:graphic>
          </wp:inline>
        </w:drawing>
      </w:r>
    </w:p>
    <w:p>
      <w:pPr>
        <w:jc w:val="right"/>
        <w:rPr>
          <w:rFonts w:eastAsia="黑体"/>
          <w:b/>
          <w:color w:val="auto"/>
          <w:sz w:val="36"/>
          <w:highlight w:val="none"/>
        </w:rPr>
      </w:pPr>
    </w:p>
    <w:p>
      <w:pPr>
        <w:rPr>
          <w:color w:val="auto"/>
          <w:highlight w:val="none"/>
        </w:rPr>
      </w:pPr>
    </w:p>
    <w:p>
      <w:pPr>
        <w:rPr>
          <w:color w:val="auto"/>
          <w:highlight w:val="none"/>
        </w:rPr>
      </w:pPr>
    </w:p>
    <w:p>
      <w:pPr>
        <w:rPr>
          <w:color w:val="auto"/>
          <w:highlight w:val="none"/>
        </w:rPr>
      </w:pPr>
    </w:p>
    <w:p>
      <w:pPr>
        <w:jc w:val="center"/>
        <w:rPr>
          <w:rFonts w:ascii="黑体" w:eastAsia="黑体"/>
          <w:b/>
          <w:color w:val="auto"/>
          <w:sz w:val="72"/>
          <w:szCs w:val="32"/>
          <w:highlight w:val="none"/>
        </w:rPr>
      </w:pPr>
      <w:r>
        <w:rPr>
          <w:rFonts w:hint="eastAsia" w:ascii="黑体" w:eastAsia="黑体"/>
          <w:b/>
          <w:color w:val="auto"/>
          <w:sz w:val="72"/>
          <w:szCs w:val="32"/>
          <w:highlight w:val="none"/>
          <w:lang w:eastAsia="zh-CN"/>
        </w:rPr>
        <w:t>国内</w:t>
      </w:r>
      <w:r>
        <w:rPr>
          <w:rFonts w:hint="eastAsia" w:ascii="黑体" w:eastAsia="黑体"/>
          <w:b/>
          <w:color w:val="auto"/>
          <w:sz w:val="72"/>
          <w:szCs w:val="32"/>
          <w:highlight w:val="none"/>
        </w:rPr>
        <w:t>采购</w:t>
      </w:r>
    </w:p>
    <w:p>
      <w:pPr>
        <w:jc w:val="center"/>
        <w:rPr>
          <w:b/>
          <w:color w:val="auto"/>
          <w:sz w:val="72"/>
          <w:szCs w:val="32"/>
          <w:highlight w:val="none"/>
        </w:rPr>
      </w:pPr>
      <w:r>
        <w:rPr>
          <w:rFonts w:hint="eastAsia" w:ascii="黑体" w:eastAsia="黑体"/>
          <w:b/>
          <w:color w:val="auto"/>
          <w:sz w:val="72"/>
          <w:szCs w:val="32"/>
          <w:highlight w:val="none"/>
        </w:rPr>
        <w:t>公开招标文件</w:t>
      </w:r>
    </w:p>
    <w:p>
      <w:pPr>
        <w:jc w:val="center"/>
        <w:rPr>
          <w:color w:val="auto"/>
          <w:highlight w:val="none"/>
        </w:rPr>
      </w:pPr>
    </w:p>
    <w:p>
      <w:pPr>
        <w:jc w:val="center"/>
        <w:rPr>
          <w:color w:val="auto"/>
          <w:highlight w:val="none"/>
        </w:rPr>
      </w:pPr>
    </w:p>
    <w:p>
      <w:pPr>
        <w:rPr>
          <w:color w:val="auto"/>
          <w:highlight w:val="none"/>
        </w:rPr>
      </w:pPr>
    </w:p>
    <w:tbl>
      <w:tblPr>
        <w:tblStyle w:val="18"/>
        <w:tblW w:w="0" w:type="auto"/>
        <w:tblInd w:w="-2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13"/>
        <w:gridCol w:w="62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2613" w:type="dxa"/>
            <w:noWrap w:val="0"/>
            <w:vAlign w:val="center"/>
          </w:tcPr>
          <w:p>
            <w:pPr>
              <w:keepNext w:val="0"/>
              <w:keepLines w:val="0"/>
              <w:pageBreakBefore w:val="0"/>
              <w:widowControl/>
              <w:kinsoku/>
              <w:wordWrap/>
              <w:overflowPunct/>
              <w:topLinePunct w:val="0"/>
              <w:autoSpaceDE/>
              <w:autoSpaceDN/>
              <w:bidi w:val="0"/>
              <w:adjustRightInd w:val="0"/>
              <w:snapToGrid w:val="0"/>
              <w:spacing w:before="200" w:after="200" w:line="240" w:lineRule="auto"/>
              <w:jc w:val="both"/>
              <w:textAlignment w:val="auto"/>
              <w:rPr>
                <w:rFonts w:hint="eastAsia" w:ascii="黑体" w:hAnsi="黑体" w:eastAsia="黑体" w:cs="黑体"/>
                <w:bCs/>
                <w:color w:val="auto"/>
                <w:sz w:val="32"/>
                <w:szCs w:val="24"/>
                <w:highlight w:val="none"/>
                <w:vertAlign w:val="baseline"/>
                <w:lang w:eastAsia="zh-CN"/>
              </w:rPr>
            </w:pPr>
            <w:r>
              <w:rPr>
                <w:rFonts w:hint="eastAsia" w:ascii="黑体" w:hAnsi="黑体" w:eastAsia="黑体" w:cs="黑体"/>
                <w:bCs/>
                <w:color w:val="auto"/>
                <w:sz w:val="32"/>
                <w:szCs w:val="24"/>
                <w:highlight w:val="none"/>
                <w:vertAlign w:val="baseline"/>
                <w:lang w:eastAsia="zh-CN"/>
              </w:rPr>
              <w:t>项目名称：</w:t>
            </w:r>
          </w:p>
        </w:tc>
        <w:tc>
          <w:tcPr>
            <w:tcW w:w="6203" w:type="dxa"/>
            <w:noWrap w:val="0"/>
            <w:vAlign w:val="center"/>
          </w:tcPr>
          <w:p>
            <w:pPr>
              <w:keepNext w:val="0"/>
              <w:keepLines w:val="0"/>
              <w:pageBreakBefore w:val="0"/>
              <w:widowControl/>
              <w:kinsoku/>
              <w:wordWrap/>
              <w:overflowPunct/>
              <w:topLinePunct w:val="0"/>
              <w:autoSpaceDE/>
              <w:autoSpaceDN/>
              <w:bidi w:val="0"/>
              <w:adjustRightInd w:val="0"/>
              <w:snapToGrid w:val="0"/>
              <w:spacing w:before="200" w:after="200" w:line="240" w:lineRule="auto"/>
              <w:jc w:val="both"/>
              <w:textAlignment w:val="auto"/>
              <w:rPr>
                <w:rFonts w:hint="eastAsia" w:ascii="黑体" w:hAnsi="黑体" w:eastAsia="黑体" w:cs="黑体"/>
                <w:bCs/>
                <w:color w:val="auto"/>
                <w:sz w:val="32"/>
                <w:szCs w:val="24"/>
                <w:highlight w:val="none"/>
                <w:vertAlign w:val="baseline"/>
              </w:rPr>
            </w:pPr>
            <w:r>
              <w:rPr>
                <w:rFonts w:hint="eastAsia" w:ascii="黑体" w:hAnsi="黑体" w:eastAsia="黑体" w:cs="黑体"/>
                <w:bCs/>
                <w:color w:val="auto"/>
                <w:sz w:val="32"/>
                <w:szCs w:val="24"/>
                <w:highlight w:val="none"/>
                <w:vertAlign w:val="baseline"/>
              </w:rPr>
              <w:t>东莞市横沥镇石涌股份经济联合社环卫清扫保洁项目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2613" w:type="dxa"/>
            <w:noWrap w:val="0"/>
            <w:vAlign w:val="center"/>
          </w:tcPr>
          <w:p>
            <w:pPr>
              <w:keepNext w:val="0"/>
              <w:keepLines w:val="0"/>
              <w:pageBreakBefore w:val="0"/>
              <w:widowControl/>
              <w:kinsoku/>
              <w:wordWrap/>
              <w:overflowPunct/>
              <w:topLinePunct w:val="0"/>
              <w:autoSpaceDE/>
              <w:autoSpaceDN/>
              <w:bidi w:val="0"/>
              <w:adjustRightInd w:val="0"/>
              <w:snapToGrid w:val="0"/>
              <w:spacing w:before="200" w:after="200" w:line="240" w:lineRule="auto"/>
              <w:jc w:val="both"/>
              <w:textAlignment w:val="auto"/>
              <w:rPr>
                <w:rFonts w:hint="eastAsia" w:ascii="黑体" w:hAnsi="黑体" w:eastAsia="黑体" w:cs="黑体"/>
                <w:bCs/>
                <w:color w:val="auto"/>
                <w:sz w:val="32"/>
                <w:szCs w:val="24"/>
                <w:highlight w:val="none"/>
                <w:vertAlign w:val="baseline"/>
                <w:lang w:eastAsia="zh-CN"/>
              </w:rPr>
            </w:pPr>
            <w:r>
              <w:rPr>
                <w:rFonts w:hint="eastAsia" w:ascii="黑体" w:hAnsi="黑体" w:eastAsia="黑体" w:cs="黑体"/>
                <w:bCs/>
                <w:color w:val="auto"/>
                <w:sz w:val="32"/>
                <w:szCs w:val="24"/>
                <w:highlight w:val="none"/>
                <w:vertAlign w:val="baseline"/>
                <w:lang w:eastAsia="zh-CN"/>
              </w:rPr>
              <w:t>项目编号：</w:t>
            </w:r>
          </w:p>
        </w:tc>
        <w:tc>
          <w:tcPr>
            <w:tcW w:w="6203" w:type="dxa"/>
            <w:noWrap w:val="0"/>
            <w:vAlign w:val="center"/>
          </w:tcPr>
          <w:p>
            <w:pPr>
              <w:keepNext w:val="0"/>
              <w:keepLines w:val="0"/>
              <w:pageBreakBefore w:val="0"/>
              <w:widowControl/>
              <w:kinsoku/>
              <w:wordWrap/>
              <w:overflowPunct/>
              <w:topLinePunct w:val="0"/>
              <w:autoSpaceDE/>
              <w:autoSpaceDN/>
              <w:bidi w:val="0"/>
              <w:adjustRightInd w:val="0"/>
              <w:snapToGrid w:val="0"/>
              <w:spacing w:before="200" w:after="200" w:line="240" w:lineRule="auto"/>
              <w:jc w:val="both"/>
              <w:textAlignment w:val="auto"/>
              <w:rPr>
                <w:rFonts w:hint="eastAsia" w:ascii="黑体" w:hAnsi="黑体" w:eastAsia="黑体" w:cs="黑体"/>
                <w:bCs/>
                <w:color w:val="auto"/>
                <w:sz w:val="32"/>
                <w:szCs w:val="24"/>
                <w:highlight w:val="none"/>
                <w:vertAlign w:val="baseline"/>
              </w:rPr>
            </w:pPr>
            <w:r>
              <w:rPr>
                <w:rFonts w:hint="eastAsia" w:ascii="黑体" w:hAnsi="黑体" w:eastAsia="黑体" w:cs="黑体"/>
                <w:bCs/>
                <w:color w:val="auto"/>
                <w:sz w:val="32"/>
                <w:szCs w:val="24"/>
                <w:highlight w:val="none"/>
                <w:vertAlign w:val="baseline"/>
              </w:rPr>
              <w:t>0832-SFCX22DG087C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9" w:hRule="atLeast"/>
        </w:trPr>
        <w:tc>
          <w:tcPr>
            <w:tcW w:w="2613" w:type="dxa"/>
            <w:noWrap w:val="0"/>
            <w:vAlign w:val="center"/>
          </w:tcPr>
          <w:p>
            <w:pPr>
              <w:keepNext w:val="0"/>
              <w:keepLines w:val="0"/>
              <w:pageBreakBefore w:val="0"/>
              <w:widowControl/>
              <w:kinsoku/>
              <w:wordWrap/>
              <w:overflowPunct/>
              <w:topLinePunct w:val="0"/>
              <w:autoSpaceDE/>
              <w:autoSpaceDN/>
              <w:bidi w:val="0"/>
              <w:adjustRightInd w:val="0"/>
              <w:snapToGrid w:val="0"/>
              <w:spacing w:before="200" w:after="200" w:line="240" w:lineRule="auto"/>
              <w:jc w:val="both"/>
              <w:textAlignment w:val="auto"/>
              <w:rPr>
                <w:rFonts w:hint="eastAsia" w:ascii="黑体" w:hAnsi="黑体" w:eastAsia="黑体" w:cs="黑体"/>
                <w:bCs/>
                <w:color w:val="auto"/>
                <w:sz w:val="32"/>
                <w:szCs w:val="24"/>
                <w:highlight w:val="none"/>
                <w:vertAlign w:val="baseline"/>
                <w:lang w:eastAsia="zh-CN"/>
              </w:rPr>
            </w:pPr>
            <w:r>
              <w:rPr>
                <w:rFonts w:hint="eastAsia" w:ascii="黑体" w:hAnsi="黑体" w:eastAsia="黑体" w:cs="黑体"/>
                <w:bCs/>
                <w:color w:val="auto"/>
                <w:sz w:val="32"/>
                <w:szCs w:val="24"/>
                <w:highlight w:val="none"/>
                <w:vertAlign w:val="baseline"/>
                <w:lang w:eastAsia="zh-CN"/>
              </w:rPr>
              <w:t>采购人：</w:t>
            </w:r>
          </w:p>
        </w:tc>
        <w:tc>
          <w:tcPr>
            <w:tcW w:w="6203" w:type="dxa"/>
            <w:noWrap w:val="0"/>
            <w:vAlign w:val="center"/>
          </w:tcPr>
          <w:p>
            <w:pPr>
              <w:keepNext w:val="0"/>
              <w:keepLines w:val="0"/>
              <w:pageBreakBefore w:val="0"/>
              <w:widowControl/>
              <w:kinsoku/>
              <w:wordWrap/>
              <w:overflowPunct/>
              <w:topLinePunct w:val="0"/>
              <w:autoSpaceDE/>
              <w:autoSpaceDN/>
              <w:bidi w:val="0"/>
              <w:adjustRightInd w:val="0"/>
              <w:snapToGrid w:val="0"/>
              <w:spacing w:before="200" w:after="200" w:line="240" w:lineRule="auto"/>
              <w:jc w:val="both"/>
              <w:textAlignment w:val="auto"/>
              <w:rPr>
                <w:rFonts w:hint="eastAsia" w:ascii="黑体" w:hAnsi="黑体" w:eastAsia="黑体" w:cs="黑体"/>
                <w:bCs/>
                <w:color w:val="auto"/>
                <w:sz w:val="32"/>
                <w:szCs w:val="24"/>
                <w:highlight w:val="none"/>
                <w:vertAlign w:val="baseline"/>
              </w:rPr>
            </w:pPr>
            <w:r>
              <w:rPr>
                <w:rFonts w:hint="eastAsia" w:ascii="黑体" w:hAnsi="黑体" w:eastAsia="黑体" w:cs="黑体"/>
                <w:bCs/>
                <w:color w:val="auto"/>
                <w:sz w:val="32"/>
                <w:szCs w:val="24"/>
                <w:highlight w:val="none"/>
                <w:vertAlign w:val="baseline"/>
              </w:rPr>
              <w:t>东莞市横沥镇石涌股份经济联合社</w:t>
            </w:r>
          </w:p>
        </w:tc>
      </w:tr>
    </w:tbl>
    <w:p>
      <w:pPr>
        <w:jc w:val="center"/>
        <w:rPr>
          <w:rFonts w:ascii="黑体" w:eastAsia="黑体"/>
          <w:color w:val="auto"/>
          <w:szCs w:val="21"/>
          <w:highlight w:val="none"/>
        </w:rPr>
      </w:pPr>
    </w:p>
    <w:p>
      <w:pPr>
        <w:jc w:val="center"/>
        <w:rPr>
          <w:rFonts w:ascii="黑体" w:eastAsia="黑体"/>
          <w:color w:val="auto"/>
          <w:szCs w:val="21"/>
          <w:highlight w:val="none"/>
        </w:rPr>
      </w:pPr>
    </w:p>
    <w:p>
      <w:pPr>
        <w:jc w:val="center"/>
        <w:rPr>
          <w:rFonts w:ascii="黑体" w:eastAsia="黑体"/>
          <w:color w:val="auto"/>
          <w:szCs w:val="21"/>
          <w:highlight w:val="none"/>
        </w:rPr>
      </w:pPr>
    </w:p>
    <w:p>
      <w:pPr>
        <w:jc w:val="both"/>
        <w:rPr>
          <w:rFonts w:ascii="黑体" w:eastAsia="黑体"/>
          <w:color w:val="auto"/>
          <w:szCs w:val="21"/>
          <w:highlight w:val="none"/>
        </w:rPr>
      </w:pPr>
    </w:p>
    <w:p>
      <w:pPr>
        <w:jc w:val="center"/>
        <w:rPr>
          <w:rFonts w:ascii="黑体" w:eastAsia="黑体"/>
          <w:color w:val="auto"/>
          <w:sz w:val="52"/>
          <w:szCs w:val="44"/>
          <w:highlight w:val="none"/>
        </w:rPr>
      </w:pPr>
      <w:r>
        <w:rPr>
          <w:rFonts w:hint="eastAsia" w:ascii="黑体" w:eastAsia="黑体"/>
          <w:color w:val="auto"/>
          <w:sz w:val="52"/>
          <w:szCs w:val="44"/>
          <w:highlight w:val="none"/>
        </w:rPr>
        <w:t>三方诚信招标有限公司</w:t>
      </w:r>
    </w:p>
    <w:p>
      <w:pPr>
        <w:pageBreakBefore w:val="0"/>
        <w:kinsoku/>
        <w:topLinePunct w:val="0"/>
        <w:autoSpaceDE/>
        <w:autoSpaceDN/>
        <w:bidi w:val="0"/>
        <w:spacing w:line="360" w:lineRule="auto"/>
        <w:jc w:val="center"/>
        <w:rPr>
          <w:rFonts w:ascii="黑体" w:eastAsia="黑体"/>
          <w:color w:val="auto"/>
          <w:sz w:val="52"/>
          <w:szCs w:val="44"/>
          <w:highlight w:val="none"/>
        </w:rPr>
      </w:pPr>
      <w:r>
        <w:rPr>
          <w:rFonts w:hint="eastAsia" w:ascii="黑体" w:eastAsia="黑体"/>
          <w:color w:val="auto"/>
          <w:sz w:val="52"/>
          <w:szCs w:val="44"/>
          <w:highlight w:val="none"/>
        </w:rPr>
        <w:t>东莞分公司</w:t>
      </w:r>
    </w:p>
    <w:p>
      <w:pPr>
        <w:pStyle w:val="15"/>
        <w:pageBreakBefore w:val="0"/>
        <w:kinsoku/>
        <w:topLinePunct w:val="0"/>
        <w:autoSpaceDE/>
        <w:autoSpaceDN/>
        <w:bidi w:val="0"/>
        <w:spacing w:line="360" w:lineRule="auto"/>
        <w:rPr>
          <w:color w:val="auto"/>
          <w:sz w:val="32"/>
          <w:szCs w:val="32"/>
          <w:highlight w:val="none"/>
        </w:rPr>
        <w:sectPr>
          <w:headerReference r:id="rId4" w:type="default"/>
          <w:pgSz w:w="11906" w:h="16838"/>
          <w:pgMar w:top="1440" w:right="1800" w:bottom="1440" w:left="1800" w:header="708" w:footer="708" w:gutter="0"/>
          <w:pgNumType w:start="0"/>
          <w:cols w:space="708" w:num="1"/>
          <w:titlePg/>
          <w:docGrid w:type="lines" w:linePitch="360" w:charSpace="0"/>
        </w:sectPr>
      </w:pPr>
    </w:p>
    <w:p>
      <w:pPr>
        <w:pStyle w:val="15"/>
        <w:pageBreakBefore w:val="0"/>
        <w:kinsoku/>
        <w:topLinePunct w:val="0"/>
        <w:autoSpaceDE/>
        <w:autoSpaceDN/>
        <w:bidi w:val="0"/>
        <w:spacing w:line="360" w:lineRule="auto"/>
        <w:ind w:left="0" w:leftChars="0" w:firstLine="0" w:firstLineChars="0"/>
        <w:jc w:val="center"/>
        <w:rPr>
          <w:rFonts w:hint="eastAsia"/>
          <w:b/>
          <w:bCs/>
          <w:color w:val="auto"/>
          <w:sz w:val="44"/>
          <w:szCs w:val="44"/>
          <w:highlight w:val="none"/>
          <w:lang w:val="en-US" w:eastAsia="zh-CN"/>
        </w:rPr>
      </w:pPr>
      <w:r>
        <w:rPr>
          <w:rFonts w:hint="eastAsia"/>
          <w:b/>
          <w:bCs/>
          <w:color w:val="auto"/>
          <w:sz w:val="44"/>
          <w:szCs w:val="44"/>
          <w:highlight w:val="none"/>
          <w:lang w:val="en-US" w:eastAsia="zh-CN"/>
        </w:rPr>
        <w:t>温馨提示</w:t>
      </w:r>
    </w:p>
    <w:p>
      <w:pPr>
        <w:pStyle w:val="25"/>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firstLine="0" w:firstLineChars="0"/>
        <w:jc w:val="left"/>
        <w:textAlignment w:val="auto"/>
        <w:rPr>
          <w:rFonts w:hint="eastAsia" w:ascii="宋体" w:hAnsi="宋体" w:eastAsia="宋体" w:cstheme="minorBidi"/>
          <w:color w:val="auto"/>
          <w:sz w:val="22"/>
          <w:szCs w:val="22"/>
          <w:highlight w:val="none"/>
          <w:lang w:val="en-US" w:eastAsia="zh-CN" w:bidi="ar-SA"/>
        </w:rPr>
      </w:pPr>
      <w:r>
        <w:rPr>
          <w:rFonts w:hint="eastAsia" w:ascii="宋体" w:hAnsi="宋体" w:eastAsia="宋体" w:cstheme="minorBidi"/>
          <w:color w:val="auto"/>
          <w:sz w:val="22"/>
          <w:szCs w:val="22"/>
          <w:highlight w:val="none"/>
          <w:lang w:val="en-US" w:eastAsia="zh-CN" w:bidi="ar-SA"/>
        </w:rPr>
        <w:t>1、投标截止时间一到，本公司不接收任何投标文件，因此，请按规定时间到达。</w:t>
      </w:r>
    </w:p>
    <w:p>
      <w:pPr>
        <w:pStyle w:val="25"/>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firstLine="0" w:firstLineChars="0"/>
        <w:jc w:val="left"/>
        <w:textAlignment w:val="auto"/>
        <w:rPr>
          <w:rFonts w:hint="eastAsia" w:ascii="宋体" w:hAnsi="宋体" w:eastAsia="宋体" w:cstheme="minorBidi"/>
          <w:color w:val="auto"/>
          <w:sz w:val="22"/>
          <w:szCs w:val="22"/>
          <w:highlight w:val="none"/>
          <w:lang w:val="en-US" w:eastAsia="zh-CN" w:bidi="ar-SA"/>
        </w:rPr>
      </w:pPr>
      <w:r>
        <w:rPr>
          <w:rFonts w:hint="eastAsia" w:ascii="宋体" w:hAnsi="宋体" w:eastAsia="宋体" w:cstheme="minorBidi"/>
          <w:color w:val="auto"/>
          <w:sz w:val="22"/>
          <w:szCs w:val="22"/>
          <w:highlight w:val="none"/>
          <w:lang w:val="en-US" w:eastAsia="zh-CN" w:bidi="ar-SA"/>
        </w:rPr>
        <w:t>2、请正确填写《开标一览表》。多包项目请仔细检查包组号，包组号跟包组名称必须一致。</w:t>
      </w:r>
    </w:p>
    <w:p>
      <w:pPr>
        <w:pStyle w:val="25"/>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firstLine="0" w:firstLineChars="0"/>
        <w:jc w:val="left"/>
        <w:textAlignment w:val="auto"/>
        <w:rPr>
          <w:rFonts w:hint="eastAsia" w:ascii="宋体" w:hAnsi="宋体" w:eastAsia="宋体" w:cstheme="minorBidi"/>
          <w:color w:val="auto"/>
          <w:sz w:val="22"/>
          <w:szCs w:val="22"/>
          <w:highlight w:val="none"/>
          <w:lang w:val="en-US" w:eastAsia="zh-CN" w:bidi="ar-SA"/>
        </w:rPr>
      </w:pPr>
      <w:r>
        <w:rPr>
          <w:rFonts w:hint="eastAsia" w:ascii="宋体" w:hAnsi="宋体" w:eastAsia="宋体" w:cstheme="minorBidi"/>
          <w:color w:val="auto"/>
          <w:sz w:val="22"/>
          <w:szCs w:val="22"/>
          <w:highlight w:val="none"/>
          <w:lang w:val="en-US" w:eastAsia="zh-CN" w:bidi="ar-SA"/>
        </w:rPr>
        <w:t>3、请仔细检查投标文件是否已按招标文件盖章、签名(或盖私章)、签署日期。</w:t>
      </w:r>
    </w:p>
    <w:p>
      <w:pPr>
        <w:pStyle w:val="25"/>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firstLine="0" w:firstLineChars="0"/>
        <w:jc w:val="left"/>
        <w:textAlignment w:val="auto"/>
        <w:rPr>
          <w:rFonts w:hint="eastAsia" w:ascii="宋体" w:hAnsi="宋体" w:eastAsia="宋体" w:cstheme="minorBidi"/>
          <w:color w:val="auto"/>
          <w:sz w:val="22"/>
          <w:szCs w:val="22"/>
          <w:highlight w:val="none"/>
          <w:lang w:val="en-US" w:eastAsia="zh-CN" w:bidi="ar-SA"/>
        </w:rPr>
      </w:pPr>
      <w:r>
        <w:rPr>
          <w:rFonts w:hint="eastAsia" w:ascii="宋体" w:hAnsi="宋体" w:eastAsia="宋体" w:cstheme="minorBidi"/>
          <w:color w:val="auto"/>
          <w:sz w:val="22"/>
          <w:szCs w:val="22"/>
          <w:highlight w:val="none"/>
          <w:lang w:val="en-US" w:eastAsia="zh-CN" w:bidi="ar-SA"/>
        </w:rPr>
        <w:t>4、加★号的条款必须一一响应。</w:t>
      </w:r>
    </w:p>
    <w:p>
      <w:pPr>
        <w:pStyle w:val="25"/>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firstLine="0" w:firstLineChars="0"/>
        <w:jc w:val="left"/>
        <w:textAlignment w:val="auto"/>
        <w:rPr>
          <w:rFonts w:hint="eastAsia" w:ascii="宋体" w:hAnsi="宋体" w:eastAsia="宋体" w:cstheme="minorBidi"/>
          <w:color w:val="auto"/>
          <w:sz w:val="22"/>
          <w:szCs w:val="22"/>
          <w:highlight w:val="none"/>
          <w:lang w:val="en-US" w:eastAsia="zh-CN" w:bidi="ar-SA"/>
        </w:rPr>
      </w:pPr>
      <w:r>
        <w:rPr>
          <w:rFonts w:hint="eastAsia" w:ascii="宋体" w:hAnsi="宋体" w:eastAsia="宋体" w:cstheme="minorBidi"/>
          <w:color w:val="auto"/>
          <w:sz w:val="22"/>
          <w:szCs w:val="22"/>
          <w:highlight w:val="none"/>
          <w:lang w:val="en-US" w:eastAsia="zh-CN" w:bidi="ar-SA"/>
        </w:rPr>
        <w:t>5、投标文件应按顺序编制页码。</w:t>
      </w:r>
    </w:p>
    <w:p>
      <w:pPr>
        <w:pStyle w:val="25"/>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firstLine="0" w:firstLineChars="0"/>
        <w:jc w:val="left"/>
        <w:textAlignment w:val="auto"/>
        <w:rPr>
          <w:rFonts w:hint="eastAsia" w:ascii="宋体" w:hAnsi="宋体" w:eastAsia="宋体" w:cstheme="minorBidi"/>
          <w:color w:val="auto"/>
          <w:sz w:val="22"/>
          <w:szCs w:val="22"/>
          <w:highlight w:val="none"/>
          <w:lang w:val="en-US" w:eastAsia="zh-CN" w:bidi="ar-SA"/>
        </w:rPr>
      </w:pPr>
      <w:r>
        <w:rPr>
          <w:rFonts w:hint="eastAsia" w:ascii="宋体" w:hAnsi="宋体" w:eastAsia="宋体" w:cstheme="minorBidi"/>
          <w:color w:val="auto"/>
          <w:sz w:val="22"/>
          <w:szCs w:val="22"/>
          <w:highlight w:val="none"/>
          <w:lang w:val="en-US" w:eastAsia="zh-CN" w:bidi="ar-SA"/>
        </w:rPr>
        <w:t>6、我公司为采购代理机构，不对潜在投标人获取招标文件时提交的相关资料的真实性负责，如潜在投标人发现相关资料被盗用、复制、伪造、变造等情况，应遵循法律途径解决，追究侵权者责任。</w:t>
      </w:r>
    </w:p>
    <w:p>
      <w:pPr>
        <w:keepNext w:val="0"/>
        <w:keepLines w:val="0"/>
        <w:pageBreakBefore w:val="0"/>
        <w:widowControl/>
        <w:kinsoku/>
        <w:wordWrap/>
        <w:overflowPunct/>
        <w:topLinePunct w:val="0"/>
        <w:autoSpaceDE/>
        <w:autoSpaceDN/>
        <w:bidi w:val="0"/>
        <w:adjustRightInd/>
        <w:snapToGrid/>
        <w:spacing w:after="0" w:line="360" w:lineRule="auto"/>
        <w:ind w:firstLine="0" w:firstLineChars="0"/>
        <w:textAlignment w:val="auto"/>
        <w:rPr>
          <w:rFonts w:hint="eastAsia" w:ascii="宋体" w:hAnsi="宋体" w:eastAsia="宋体" w:cstheme="minorBidi"/>
          <w:color w:val="auto"/>
          <w:sz w:val="22"/>
          <w:szCs w:val="22"/>
          <w:highlight w:val="none"/>
          <w:lang w:val="en-US" w:eastAsia="zh-CN" w:bidi="ar-SA"/>
        </w:rPr>
      </w:pPr>
    </w:p>
    <w:p>
      <w:pPr>
        <w:keepNext w:val="0"/>
        <w:keepLines w:val="0"/>
        <w:pageBreakBefore w:val="0"/>
        <w:widowControl/>
        <w:tabs>
          <w:tab w:val="left" w:pos="709"/>
        </w:tabs>
        <w:kinsoku/>
        <w:wordWrap/>
        <w:overflowPunct/>
        <w:topLinePunct w:val="0"/>
        <w:autoSpaceDE/>
        <w:autoSpaceDN/>
        <w:bidi w:val="0"/>
        <w:adjustRightInd/>
        <w:snapToGrid/>
        <w:spacing w:after="0" w:line="360" w:lineRule="auto"/>
        <w:ind w:firstLine="0" w:firstLineChars="0"/>
        <w:textAlignment w:val="auto"/>
        <w:rPr>
          <w:rFonts w:hint="eastAsia" w:ascii="宋体" w:hAnsi="宋体" w:eastAsia="宋体" w:cstheme="minorBidi"/>
          <w:b/>
          <w:bCs/>
          <w:i w:val="0"/>
          <w:iCs w:val="0"/>
          <w:color w:val="auto"/>
          <w:sz w:val="22"/>
          <w:szCs w:val="22"/>
          <w:highlight w:val="none"/>
          <w:lang w:val="en-US" w:eastAsia="zh-CN" w:bidi="ar-SA"/>
        </w:rPr>
      </w:pPr>
    </w:p>
    <w:p>
      <w:pPr>
        <w:keepNext w:val="0"/>
        <w:keepLines w:val="0"/>
        <w:pageBreakBefore w:val="0"/>
        <w:widowControl/>
        <w:tabs>
          <w:tab w:val="left" w:pos="709"/>
        </w:tabs>
        <w:kinsoku/>
        <w:wordWrap/>
        <w:overflowPunct/>
        <w:topLinePunct w:val="0"/>
        <w:autoSpaceDE/>
        <w:autoSpaceDN/>
        <w:bidi w:val="0"/>
        <w:adjustRightInd/>
        <w:snapToGrid/>
        <w:spacing w:after="0" w:line="360" w:lineRule="auto"/>
        <w:ind w:firstLine="0" w:firstLineChars="0"/>
        <w:textAlignment w:val="auto"/>
        <w:rPr>
          <w:rFonts w:hint="eastAsia" w:ascii="宋体" w:hAnsi="宋体" w:eastAsia="宋体" w:cstheme="minorBidi"/>
          <w:b/>
          <w:bCs/>
          <w:i w:val="0"/>
          <w:iCs w:val="0"/>
          <w:color w:val="auto"/>
          <w:sz w:val="22"/>
          <w:szCs w:val="22"/>
          <w:highlight w:val="none"/>
          <w:lang w:val="en-US" w:eastAsia="zh-CN" w:bidi="ar-SA"/>
        </w:rPr>
      </w:pPr>
      <w:r>
        <w:rPr>
          <w:rFonts w:hint="eastAsia" w:ascii="宋体" w:hAnsi="宋体" w:eastAsia="宋体" w:cstheme="minorBidi"/>
          <w:b/>
          <w:bCs/>
          <w:i w:val="0"/>
          <w:iCs w:val="0"/>
          <w:color w:val="auto"/>
          <w:sz w:val="22"/>
          <w:szCs w:val="22"/>
          <w:highlight w:val="none"/>
          <w:lang w:val="en-US" w:eastAsia="zh-CN" w:bidi="ar-SA"/>
        </w:rPr>
        <w:t xml:space="preserve"> (本提示内容非招标文件的组成部分，仅为善意提醒。如有不一致，以招标文件为准。)</w:t>
      </w:r>
    </w:p>
    <w:p>
      <w:pPr>
        <w:pageBreakBefore w:val="0"/>
        <w:kinsoku/>
        <w:topLinePunct w:val="0"/>
        <w:autoSpaceDE/>
        <w:autoSpaceDN/>
        <w:bidi w:val="0"/>
        <w:spacing w:line="360" w:lineRule="auto"/>
        <w:rPr>
          <w:rFonts w:hint="eastAsia"/>
          <w:color w:val="auto"/>
          <w:sz w:val="40"/>
          <w:szCs w:val="40"/>
          <w:highlight w:val="none"/>
        </w:rPr>
      </w:pPr>
    </w:p>
    <w:p>
      <w:pPr>
        <w:pageBreakBefore w:val="0"/>
        <w:kinsoku/>
        <w:topLinePunct w:val="0"/>
        <w:autoSpaceDE/>
        <w:autoSpaceDN/>
        <w:bidi w:val="0"/>
        <w:spacing w:line="360" w:lineRule="auto"/>
        <w:rPr>
          <w:rFonts w:hint="eastAsia"/>
          <w:color w:val="auto"/>
          <w:sz w:val="40"/>
          <w:szCs w:val="40"/>
          <w:highlight w:val="none"/>
        </w:rPr>
      </w:pPr>
      <w:r>
        <w:rPr>
          <w:rFonts w:hint="eastAsia"/>
          <w:color w:val="auto"/>
          <w:sz w:val="40"/>
          <w:szCs w:val="40"/>
          <w:highlight w:val="none"/>
        </w:rPr>
        <w:br w:type="page"/>
      </w:r>
    </w:p>
    <w:p>
      <w:pPr>
        <w:pStyle w:val="15"/>
        <w:pageBreakBefore w:val="0"/>
        <w:kinsoku/>
        <w:topLinePunct w:val="0"/>
        <w:autoSpaceDE/>
        <w:autoSpaceDN/>
        <w:bidi w:val="0"/>
        <w:spacing w:line="360" w:lineRule="auto"/>
        <w:ind w:left="0" w:leftChars="0" w:firstLine="0" w:firstLineChars="0"/>
        <w:jc w:val="center"/>
        <w:rPr>
          <w:color w:val="auto"/>
          <w:sz w:val="40"/>
          <w:szCs w:val="40"/>
          <w:highlight w:val="none"/>
        </w:rPr>
      </w:pPr>
      <w:r>
        <w:rPr>
          <w:rFonts w:hint="eastAsia"/>
          <w:color w:val="auto"/>
          <w:sz w:val="40"/>
          <w:szCs w:val="40"/>
          <w:highlight w:val="none"/>
        </w:rPr>
        <w:t>目录</w:t>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0" w:firstLineChars="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TOC \o "1-4" \h \z \u </w:instrText>
      </w:r>
      <w:r>
        <w:rPr>
          <w:rFonts w:hint="eastAsia" w:ascii="宋体" w:hAnsi="宋体" w:eastAsia="宋体" w:cs="宋体"/>
          <w:color w:val="auto"/>
          <w:sz w:val="21"/>
          <w:szCs w:val="21"/>
          <w:highlight w:val="none"/>
        </w:rPr>
        <w:fldChar w:fldCharType="separate"/>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\l _Toc20722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第一部分 投标邀请</w:t>
      </w:r>
      <w:r>
        <w:rPr>
          <w:rFonts w:hint="eastAsia" w:ascii="宋体" w:hAnsi="宋体" w:eastAsia="宋体" w:cs="宋体"/>
          <w:b/>
          <w:bCs/>
          <w:color w:val="auto"/>
          <w:sz w:val="21"/>
          <w:szCs w:val="21"/>
          <w:highlight w:val="none"/>
        </w:rPr>
        <w:tab/>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PAGEREF _Toc20722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5</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_Toc13903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投标邀请书</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_Toc13903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0" w:firstLine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\l _Toc857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第二部分 相关资料表格</w:t>
      </w:r>
      <w:r>
        <w:rPr>
          <w:rFonts w:hint="eastAsia" w:ascii="宋体" w:hAnsi="宋体" w:eastAsia="宋体" w:cs="宋体"/>
          <w:b/>
          <w:bCs/>
          <w:color w:val="auto"/>
          <w:sz w:val="21"/>
          <w:szCs w:val="21"/>
          <w:highlight w:val="none"/>
        </w:rPr>
        <w:tab/>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PAGEREF _Toc857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8</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_Toc17481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附表一：投标资料表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_Toc17481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_Toc27394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附表二：商务技术评分及价格权重表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_Toc27394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11</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0" w:firstLine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\l _Toc21802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第三部分 用户需求书</w:t>
      </w:r>
      <w:r>
        <w:rPr>
          <w:rFonts w:hint="eastAsia" w:ascii="宋体" w:hAnsi="宋体" w:eastAsia="宋体" w:cs="宋体"/>
          <w:b/>
          <w:bCs/>
          <w:color w:val="auto"/>
          <w:sz w:val="21"/>
          <w:szCs w:val="21"/>
          <w:highlight w:val="none"/>
        </w:rPr>
        <w:tab/>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PAGEREF _Toc21802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14</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0" w:firstLine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\l _Toc27370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第四部分 投标人须知</w:t>
      </w:r>
      <w:r>
        <w:rPr>
          <w:rFonts w:hint="eastAsia" w:ascii="宋体" w:hAnsi="宋体" w:eastAsia="宋体" w:cs="宋体"/>
          <w:b/>
          <w:bCs/>
          <w:color w:val="auto"/>
          <w:sz w:val="21"/>
          <w:szCs w:val="21"/>
          <w:highlight w:val="none"/>
        </w:rPr>
        <w:tab/>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PAGEREF _Toc27370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33</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_Toc8045 </w:instrText>
      </w:r>
      <w:r>
        <w:rPr>
          <w:rFonts w:hint="eastAsia" w:ascii="宋体" w:hAnsi="宋体" w:eastAsia="宋体" w:cs="宋体"/>
          <w:b w:val="0"/>
          <w:bCs w:val="0"/>
          <w:color w:val="auto"/>
          <w:sz w:val="21"/>
          <w:szCs w:val="21"/>
          <w:highlight w:val="none"/>
        </w:rPr>
        <w:fldChar w:fldCharType="separate"/>
      </w:r>
      <w:r>
        <w:rPr>
          <w:rFonts w:hint="default" w:ascii="宋体" w:hAnsi="宋体" w:eastAsia="宋体" w:cs="宋体"/>
          <w:b w:val="0"/>
          <w:bCs w:val="0"/>
          <w:color w:val="auto"/>
          <w:sz w:val="21"/>
          <w:szCs w:val="21"/>
          <w:highlight w:val="none"/>
        </w:rPr>
        <w:t xml:space="preserve">一、 </w:t>
      </w:r>
      <w:r>
        <w:rPr>
          <w:rFonts w:hint="eastAsia" w:ascii="宋体" w:hAnsi="宋体" w:eastAsia="宋体" w:cs="宋体"/>
          <w:b w:val="0"/>
          <w:bCs w:val="0"/>
          <w:color w:val="auto"/>
          <w:sz w:val="21"/>
          <w:szCs w:val="21"/>
          <w:highlight w:val="none"/>
        </w:rPr>
        <w:t>说明</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_Toc8045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_Toc2381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1.适用范围</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_Toc2381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_Toc15203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2.定义</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_Toc15203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_Toc1072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3.货物和服务</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_Toc1072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_Toc16909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4.投标费用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_Toc16909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34</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_Toc24409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5.知识产权</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_Toc24409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34</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_Toc25530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6.关于联合体投标</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_Toc25530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34</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_Toc24312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7.关于分支机构投标</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_Toc24312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_Toc15504 </w:instrText>
      </w:r>
      <w:r>
        <w:rPr>
          <w:rFonts w:hint="eastAsia" w:ascii="宋体" w:hAnsi="宋体" w:eastAsia="宋体" w:cs="宋体"/>
          <w:b w:val="0"/>
          <w:bCs w:val="0"/>
          <w:color w:val="auto"/>
          <w:sz w:val="21"/>
          <w:szCs w:val="21"/>
          <w:highlight w:val="none"/>
        </w:rPr>
        <w:fldChar w:fldCharType="separate"/>
      </w:r>
      <w:r>
        <w:rPr>
          <w:rFonts w:hint="default" w:ascii="宋体" w:hAnsi="宋体" w:eastAsia="宋体" w:cs="宋体"/>
          <w:b w:val="0"/>
          <w:bCs w:val="0"/>
          <w:color w:val="auto"/>
          <w:sz w:val="21"/>
          <w:szCs w:val="21"/>
          <w:highlight w:val="none"/>
        </w:rPr>
        <w:t xml:space="preserve">二、 </w:t>
      </w:r>
      <w:r>
        <w:rPr>
          <w:rFonts w:hint="eastAsia" w:ascii="宋体" w:hAnsi="宋体" w:eastAsia="宋体" w:cs="宋体"/>
          <w:b w:val="0"/>
          <w:bCs w:val="0"/>
          <w:color w:val="auto"/>
          <w:sz w:val="21"/>
          <w:szCs w:val="21"/>
          <w:highlight w:val="none"/>
        </w:rPr>
        <w:t>招标文件</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_Toc15504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36</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_Toc15490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8.招标文件的组成</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_Toc15490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36</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_Toc7789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9.招标文件的澄清或修改</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_Toc7789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36</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_Toc3992 </w:instrText>
      </w:r>
      <w:r>
        <w:rPr>
          <w:rFonts w:hint="eastAsia" w:ascii="宋体" w:hAnsi="宋体" w:eastAsia="宋体" w:cs="宋体"/>
          <w:b w:val="0"/>
          <w:bCs w:val="0"/>
          <w:color w:val="auto"/>
          <w:sz w:val="21"/>
          <w:szCs w:val="21"/>
          <w:highlight w:val="none"/>
        </w:rPr>
        <w:fldChar w:fldCharType="separate"/>
      </w:r>
      <w:r>
        <w:rPr>
          <w:rFonts w:hint="default" w:ascii="宋体" w:hAnsi="宋体" w:eastAsia="宋体" w:cs="宋体"/>
          <w:b w:val="0"/>
          <w:bCs w:val="0"/>
          <w:color w:val="auto"/>
          <w:sz w:val="21"/>
          <w:szCs w:val="21"/>
          <w:highlight w:val="none"/>
        </w:rPr>
        <w:t xml:space="preserve">三、 </w:t>
      </w:r>
      <w:r>
        <w:rPr>
          <w:rFonts w:hint="eastAsia" w:ascii="宋体" w:hAnsi="宋体" w:eastAsia="宋体" w:cs="宋体"/>
          <w:b w:val="0"/>
          <w:bCs w:val="0"/>
          <w:color w:val="auto"/>
          <w:sz w:val="21"/>
          <w:szCs w:val="21"/>
          <w:highlight w:val="none"/>
        </w:rPr>
        <w:t>投标文件的编制</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_Toc3992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36</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_Toc708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10.投标文件的语言及度量衡单位</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_Toc708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36</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_Toc29420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11.投标文件的组成</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_Toc29420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36</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_Toc11356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12.投标文件编制</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_Toc11356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_Toc28034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13.投标报价说明</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_Toc28034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_Toc34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14.投标人所提供的服务或货物的证明文件</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_Toc34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_Toc10940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15.★投标有效期</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_Toc10940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_Toc5483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16.★投标保证金</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_Toc5483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_Toc8216 </w:instrText>
      </w:r>
      <w:r>
        <w:rPr>
          <w:rFonts w:hint="eastAsia" w:ascii="宋体" w:hAnsi="宋体" w:eastAsia="宋体" w:cs="宋体"/>
          <w:b w:val="0"/>
          <w:bCs w:val="0"/>
          <w:color w:val="auto"/>
          <w:sz w:val="21"/>
          <w:szCs w:val="21"/>
          <w:highlight w:val="none"/>
        </w:rPr>
        <w:fldChar w:fldCharType="separate"/>
      </w:r>
      <w:r>
        <w:rPr>
          <w:rFonts w:hint="default" w:ascii="宋体" w:hAnsi="宋体" w:eastAsia="宋体" w:cs="宋体"/>
          <w:b w:val="0"/>
          <w:bCs w:val="0"/>
          <w:color w:val="auto"/>
          <w:sz w:val="21"/>
          <w:szCs w:val="21"/>
          <w:highlight w:val="none"/>
        </w:rPr>
        <w:t xml:space="preserve">四、 </w:t>
      </w:r>
      <w:r>
        <w:rPr>
          <w:rFonts w:hint="eastAsia" w:ascii="宋体" w:hAnsi="宋体" w:eastAsia="宋体" w:cs="宋体"/>
          <w:b w:val="0"/>
          <w:bCs w:val="0"/>
          <w:color w:val="auto"/>
          <w:sz w:val="21"/>
          <w:szCs w:val="21"/>
          <w:highlight w:val="none"/>
        </w:rPr>
        <w:t>投标文件的递交</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_Toc8216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_Toc16724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17.投标文件的装订，签署，密封和标记</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_Toc16724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_Toc30088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18.迟交的投标文件</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_Toc30088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40</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_Toc15912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19.投标样品</w:t>
      </w:r>
      <w:r>
        <w:rPr>
          <w:rFonts w:hint="eastAsia" w:ascii="宋体" w:hAnsi="宋体" w:eastAsia="宋体" w:cs="宋体"/>
          <w:b w:val="0"/>
          <w:bCs w:val="0"/>
          <w:color w:val="auto"/>
          <w:sz w:val="21"/>
          <w:szCs w:val="21"/>
          <w:highlight w:val="none"/>
          <w:lang w:eastAsia="zh-CN"/>
        </w:rPr>
        <w:t>、投标演示</w:t>
      </w:r>
      <w:r>
        <w:rPr>
          <w:rFonts w:hint="eastAsia" w:ascii="宋体" w:hAnsi="宋体" w:eastAsia="宋体" w:cs="宋体"/>
          <w:b w:val="0"/>
          <w:bCs w:val="0"/>
          <w:color w:val="auto"/>
          <w:sz w:val="21"/>
          <w:szCs w:val="21"/>
          <w:highlight w:val="none"/>
        </w:rPr>
        <w:t>（如</w:t>
      </w:r>
      <w:r>
        <w:rPr>
          <w:rFonts w:hint="eastAsia" w:ascii="宋体" w:hAnsi="宋体" w:eastAsia="宋体" w:cs="宋体"/>
          <w:b w:val="0"/>
          <w:bCs w:val="0"/>
          <w:color w:val="auto"/>
          <w:sz w:val="21"/>
          <w:szCs w:val="21"/>
          <w:highlight w:val="none"/>
          <w:lang w:eastAsia="zh-CN"/>
        </w:rPr>
        <w:t>有要求</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_Toc15912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40</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_Toc28098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20.投标截止期</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_Toc28098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40</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_Toc22260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21.投标文件的补充、修改与撤回</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_Toc22260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41</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_Toc13835 </w:instrText>
      </w:r>
      <w:r>
        <w:rPr>
          <w:rFonts w:hint="eastAsia" w:ascii="宋体" w:hAnsi="宋体" w:eastAsia="宋体" w:cs="宋体"/>
          <w:b w:val="0"/>
          <w:bCs w:val="0"/>
          <w:color w:val="auto"/>
          <w:sz w:val="21"/>
          <w:szCs w:val="21"/>
          <w:highlight w:val="none"/>
        </w:rPr>
        <w:fldChar w:fldCharType="separate"/>
      </w:r>
      <w:r>
        <w:rPr>
          <w:rFonts w:hint="default" w:ascii="宋体" w:hAnsi="宋体" w:eastAsia="宋体" w:cs="宋体"/>
          <w:b w:val="0"/>
          <w:bCs w:val="0"/>
          <w:color w:val="auto"/>
          <w:sz w:val="21"/>
          <w:szCs w:val="21"/>
          <w:highlight w:val="none"/>
        </w:rPr>
        <w:t xml:space="preserve">五、 </w:t>
      </w:r>
      <w:r>
        <w:rPr>
          <w:rFonts w:hint="eastAsia" w:ascii="宋体" w:hAnsi="宋体" w:eastAsia="宋体" w:cs="宋体"/>
          <w:b w:val="0"/>
          <w:bCs w:val="0"/>
          <w:color w:val="auto"/>
          <w:sz w:val="21"/>
          <w:szCs w:val="21"/>
          <w:highlight w:val="none"/>
        </w:rPr>
        <w:t>开标与评标</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_Toc13835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41</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_Toc174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22.开标</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_Toc174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41</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_Toc318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23.评标委员会及评标方法</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_Toc318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41</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_Toc21911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24.评审原则及评标过程的保密</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_Toc21911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42</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_Toc12318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25.投标文件的初审</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_Toc12318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42</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_Toc19657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26.商务、技术、价格评审（具体评审项目详见投标资料表）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_Toc19657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44</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_Toc6456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27.优惠政策</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_Toc6456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_Toc5898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28.纪律和保密事项</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_Toc5898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46</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_Toc21732 </w:instrText>
      </w:r>
      <w:r>
        <w:rPr>
          <w:rFonts w:hint="eastAsia" w:ascii="宋体" w:hAnsi="宋体" w:eastAsia="宋体" w:cs="宋体"/>
          <w:b w:val="0"/>
          <w:bCs w:val="0"/>
          <w:color w:val="auto"/>
          <w:sz w:val="21"/>
          <w:szCs w:val="21"/>
          <w:highlight w:val="none"/>
        </w:rPr>
        <w:fldChar w:fldCharType="separate"/>
      </w:r>
      <w:r>
        <w:rPr>
          <w:rFonts w:hint="default" w:ascii="宋体" w:hAnsi="宋体" w:eastAsia="宋体" w:cs="宋体"/>
          <w:b w:val="0"/>
          <w:bCs w:val="0"/>
          <w:color w:val="auto"/>
          <w:sz w:val="21"/>
          <w:szCs w:val="21"/>
          <w:highlight w:val="none"/>
        </w:rPr>
        <w:t xml:space="preserve">六、 </w:t>
      </w:r>
      <w:r>
        <w:rPr>
          <w:rFonts w:hint="eastAsia" w:ascii="宋体" w:hAnsi="宋体" w:eastAsia="宋体" w:cs="宋体"/>
          <w:b w:val="0"/>
          <w:bCs w:val="0"/>
          <w:color w:val="auto"/>
          <w:sz w:val="21"/>
          <w:szCs w:val="21"/>
          <w:highlight w:val="none"/>
        </w:rPr>
        <w:t>授予合同</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_Toc21732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_Toc4954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29.合同授予标准</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_Toc4954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_Toc22043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30.发布采购结果</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_Toc22043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_Toc8411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31.合同的签订与履行</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_Toc8411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_Toc8004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32.履约保证金</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_Toc8004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_Toc5276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lang w:eastAsia="zh-CN"/>
        </w:rPr>
        <w:t>七</w:t>
      </w:r>
      <w:r>
        <w:rPr>
          <w:rFonts w:hint="default" w:ascii="宋体" w:hAnsi="宋体" w:eastAsia="宋体" w:cs="宋体"/>
          <w:b w:val="0"/>
          <w:bCs w:val="0"/>
          <w:color w:val="auto"/>
          <w:sz w:val="21"/>
          <w:szCs w:val="21"/>
          <w:highlight w:val="none"/>
        </w:rPr>
        <w:t xml:space="preserve">、 </w:t>
      </w:r>
      <w:r>
        <w:rPr>
          <w:rFonts w:hint="eastAsia" w:ascii="宋体" w:hAnsi="宋体" w:eastAsia="宋体" w:cs="宋体"/>
          <w:b w:val="0"/>
          <w:bCs w:val="0"/>
          <w:color w:val="auto"/>
          <w:sz w:val="21"/>
          <w:szCs w:val="21"/>
          <w:highlight w:val="none"/>
        </w:rPr>
        <w:t>其他</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_Toc5276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49</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_Toc19434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35.招标文件的解释权</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_Toc19434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49</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0" w:firstLine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\l _Toc12226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第五部分 合同格式（仅供参考）</w:t>
      </w:r>
      <w:r>
        <w:rPr>
          <w:rFonts w:hint="eastAsia" w:ascii="宋体" w:hAnsi="宋体" w:eastAsia="宋体" w:cs="宋体"/>
          <w:b/>
          <w:bCs/>
          <w:color w:val="auto"/>
          <w:sz w:val="21"/>
          <w:szCs w:val="21"/>
          <w:highlight w:val="none"/>
        </w:rPr>
        <w:tab/>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PAGEREF _Toc12226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50</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_Toc19043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合同格式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_Toc19043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50</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0" w:firstLine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\l _Toc15795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第六部分  附件－投标文件格式</w:t>
      </w:r>
      <w:r>
        <w:rPr>
          <w:rFonts w:hint="eastAsia" w:ascii="宋体" w:hAnsi="宋体" w:eastAsia="宋体" w:cs="宋体"/>
          <w:b/>
          <w:bCs/>
          <w:color w:val="auto"/>
          <w:sz w:val="21"/>
          <w:szCs w:val="21"/>
          <w:highlight w:val="none"/>
        </w:rPr>
        <w:tab/>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PAGEREF _Toc15795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53</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_Toc6425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附件1.投标文件目录</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_Toc6425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_Toc10771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附件1-1评分标准索引表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_Toc10771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54</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_Toc1045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附件2.投标书格式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_Toc1045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_Toc11248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附件3.开标一览表格式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_Toc11248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_Toc15530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附件4.投标分项报价表格式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_Toc15530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_Toc13261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附件5.法定代表人证明书格式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_Toc13261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59</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_Toc19428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附件6.法定代表人授权书格式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_Toc19428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60</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_Toc24266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附件7.资格申明</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_Toc24266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61</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_Toc22915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附件8.营业执照</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_Toc22915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62</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_Toc16457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附件9.相关资质证明文件</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_Toc16457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_Toc29591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附件10.商务条款偏离表格式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_Toc29591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64</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_Toc7552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附件11.</w:t>
      </w:r>
      <w:r>
        <w:rPr>
          <w:rFonts w:hint="eastAsia" w:ascii="宋体" w:hAnsi="宋体" w:eastAsia="宋体" w:cs="宋体"/>
          <w:b w:val="0"/>
          <w:bCs w:val="0"/>
          <w:color w:val="auto"/>
          <w:sz w:val="21"/>
          <w:szCs w:val="21"/>
          <w:highlight w:val="none"/>
          <w:lang w:eastAsia="zh-CN"/>
        </w:rPr>
        <w:t>技术条款</w:t>
      </w:r>
      <w:r>
        <w:rPr>
          <w:rFonts w:hint="eastAsia" w:ascii="宋体" w:hAnsi="宋体" w:eastAsia="宋体" w:cs="宋体"/>
          <w:b w:val="0"/>
          <w:bCs w:val="0"/>
          <w:color w:val="auto"/>
          <w:sz w:val="21"/>
          <w:szCs w:val="21"/>
          <w:highlight w:val="none"/>
        </w:rPr>
        <w:t>偏离表格式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_Toc7552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_Toc9275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附件12.重要技术参数（▲）响应表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_Toc9275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66</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_Toc19767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附件13.业绩表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_Toc19767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_Toc20567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附件14.项目实施方案格式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_Toc20567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_Toc2677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附件15.实施本项目的有关人员资料表格式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_Toc2677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69</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_Toc27215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附件16.投标货物说明一览表格式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_Toc27215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70</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_Toc22034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附件17.在经营活动中没有重大违法记录的书面声明格式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_Toc22034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71</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_Toc3843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18</w:t>
      </w:r>
      <w:r>
        <w:rPr>
          <w:rFonts w:hint="eastAsia" w:ascii="宋体" w:hAnsi="宋体" w:eastAsia="宋体" w:cs="宋体"/>
          <w:b w:val="0"/>
          <w:bCs w:val="0"/>
          <w:color w:val="auto"/>
          <w:sz w:val="21"/>
          <w:szCs w:val="21"/>
          <w:highlight w:val="none"/>
        </w:rPr>
        <w:t>.投标保证金汇入情况说明格式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_Toc3843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72</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0" w:firstLine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\l _Toc21744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lang w:val="en-US" w:eastAsia="zh-CN"/>
        </w:rPr>
        <w:t>第七部分 附件-开标文件格式</w:t>
      </w:r>
      <w:r>
        <w:rPr>
          <w:rFonts w:hint="eastAsia" w:ascii="宋体" w:hAnsi="宋体" w:eastAsia="宋体" w:cs="宋体"/>
          <w:b/>
          <w:bCs/>
          <w:color w:val="auto"/>
          <w:sz w:val="21"/>
          <w:szCs w:val="21"/>
          <w:highlight w:val="none"/>
        </w:rPr>
        <w:tab/>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PAGEREF _Toc21744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74</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firstLine="0" w:firstLine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\l _Toc21573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lang w:val="en-US" w:eastAsia="zh-CN"/>
        </w:rPr>
        <w:t>第八部分 附件-其他文件格式（如有需求）</w:t>
      </w:r>
      <w:r>
        <w:rPr>
          <w:rFonts w:hint="eastAsia" w:ascii="宋体" w:hAnsi="宋体" w:eastAsia="宋体" w:cs="宋体"/>
          <w:b/>
          <w:bCs/>
          <w:color w:val="auto"/>
          <w:sz w:val="21"/>
          <w:szCs w:val="21"/>
          <w:highlight w:val="none"/>
        </w:rPr>
        <w:tab/>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PAGEREF _Toc21573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74</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_Toc29433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.中小企业声明函（投标人为中小企业时适用）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_Toc29433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75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_Toc21108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.《残疾人福利性单位声明函》（残疾人福利性单位适用）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_Toc21108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78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_Toc15531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.联合体共同投标协议书（可选）</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_Toc15531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79</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_Toc29119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rPr>
        <w:t>.分包意向协议书（可选）</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_Toc29119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81</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_Toc3658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rPr>
        <w:t>.投标担保函</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_Toc3658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83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_Toc137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rPr>
        <w:t>.履约担保函</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_Toc137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85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7"/>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660" w:left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_Toc8346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7</w:t>
      </w:r>
      <w:r>
        <w:rPr>
          <w:rFonts w:hint="eastAsia" w:ascii="宋体" w:hAnsi="宋体" w:eastAsia="宋体" w:cs="宋体"/>
          <w:b w:val="0"/>
          <w:bCs w:val="0"/>
          <w:color w:val="auto"/>
          <w:sz w:val="21"/>
          <w:szCs w:val="21"/>
          <w:highlight w:val="none"/>
        </w:rPr>
        <w:t>.获取招标文件登记表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_Toc8346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87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13"/>
        <w:keepNext w:val="0"/>
        <w:keepLines w:val="0"/>
        <w:pageBreakBefore w:val="0"/>
        <w:widowControl/>
        <w:tabs>
          <w:tab w:val="right" w:leader="dot" w:pos="8306"/>
          <w:tab w:val="clear" w:pos="8296"/>
        </w:tabs>
        <w:kinsoku/>
        <w:wordWrap/>
        <w:overflowPunct/>
        <w:topLinePunct w:val="0"/>
        <w:autoSpaceDE/>
        <w:autoSpaceDN/>
        <w:bidi w:val="0"/>
        <w:adjustRightInd/>
        <w:snapToGrid/>
        <w:spacing w:after="0" w:line="240" w:lineRule="auto"/>
        <w:ind w:left="0" w:leftChars="0"/>
        <w:jc w:val="left"/>
        <w:textAlignment w:val="auto"/>
        <w:rPr>
          <w:rFonts w:ascii="宋体" w:hAnsi="宋体" w:eastAsia="宋体" w:cs="宋体"/>
          <w:color w:val="auto"/>
          <w:szCs w:val="21"/>
          <w:highlight w:val="none"/>
        </w:rPr>
      </w:pPr>
      <w:r>
        <w:rPr>
          <w:rFonts w:hint="eastAsia" w:ascii="宋体" w:hAnsi="宋体" w:eastAsia="宋体" w:cs="宋体"/>
          <w:color w:val="auto"/>
          <w:sz w:val="21"/>
          <w:szCs w:val="21"/>
          <w:highlight w:val="none"/>
        </w:rPr>
        <w:fldChar w:fldCharType="end"/>
      </w:r>
      <w:r>
        <w:rPr>
          <w:rFonts w:hint="eastAsia" w:ascii="宋体" w:hAnsi="宋体" w:eastAsia="宋体" w:cs="宋体"/>
          <w:color w:val="auto"/>
          <w:szCs w:val="21"/>
          <w:highlight w:val="none"/>
        </w:rPr>
        <w:br w:type="page"/>
      </w:r>
    </w:p>
    <w:p>
      <w:pPr>
        <w:pStyle w:val="3"/>
        <w:pageBreakBefore w:val="0"/>
        <w:kinsoku/>
        <w:topLinePunct w:val="0"/>
        <w:autoSpaceDE/>
        <w:autoSpaceDN/>
        <w:bidi w:val="0"/>
        <w:spacing w:before="0" w:after="0" w:line="360" w:lineRule="auto"/>
        <w:rPr>
          <w:rFonts w:asciiTheme="majorHAnsi" w:hAnsiTheme="majorHAnsi" w:eastAsiaTheme="majorEastAsia" w:cstheme="majorBidi"/>
          <w:b/>
          <w:bCs/>
          <w:color w:val="auto"/>
          <w:sz w:val="28"/>
          <w:szCs w:val="28"/>
          <w:highlight w:val="none"/>
        </w:rPr>
      </w:pPr>
      <w:bookmarkStart w:id="0" w:name="_Toc20722"/>
      <w:r>
        <w:rPr>
          <w:rFonts w:hint="eastAsia" w:asciiTheme="majorHAnsi" w:hAnsiTheme="majorHAnsi" w:eastAsiaTheme="majorEastAsia" w:cstheme="majorBidi"/>
          <w:b/>
          <w:bCs/>
          <w:color w:val="auto"/>
          <w:sz w:val="28"/>
          <w:szCs w:val="28"/>
          <w:highlight w:val="none"/>
        </w:rPr>
        <w:t>第一部分 投标邀请</w:t>
      </w:r>
      <w:bookmarkEnd w:id="0"/>
    </w:p>
    <w:p>
      <w:pPr>
        <w:pStyle w:val="4"/>
        <w:pageBreakBefore w:val="0"/>
        <w:kinsoku/>
        <w:topLinePunct w:val="0"/>
        <w:autoSpaceDE/>
        <w:autoSpaceDN/>
        <w:bidi w:val="0"/>
        <w:spacing w:before="0" w:after="0" w:line="360" w:lineRule="auto"/>
        <w:jc w:val="center"/>
        <w:rPr>
          <w:rFonts w:ascii="宋体" w:hAnsi="宋体" w:eastAsia="宋体" w:cs="宋体"/>
          <w:color w:val="auto"/>
          <w:highlight w:val="none"/>
        </w:rPr>
      </w:pPr>
      <w:bookmarkStart w:id="1" w:name="_Toc13903"/>
      <w:r>
        <w:rPr>
          <w:rFonts w:hint="eastAsia" w:ascii="宋体" w:hAnsi="宋体" w:eastAsia="宋体" w:cs="宋体"/>
          <w:color w:val="auto"/>
          <w:highlight w:val="none"/>
        </w:rPr>
        <w:t>投标邀请书</w:t>
      </w:r>
      <w:bookmarkEnd w:id="1"/>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三方诚信招标有限公司东莞分公司</w:t>
      </w:r>
      <w:r>
        <w:rPr>
          <w:rFonts w:ascii="宋体" w:hAnsi="宋体" w:eastAsia="宋体"/>
          <w:color w:val="auto"/>
          <w:sz w:val="21"/>
          <w:szCs w:val="21"/>
          <w:highlight w:val="none"/>
        </w:rPr>
        <w:t>（以下简称</w:t>
      </w:r>
      <w:r>
        <w:rPr>
          <w:rFonts w:hint="eastAsia" w:ascii="宋体" w:hAnsi="宋体" w:eastAsia="宋体"/>
          <w:color w:val="auto"/>
          <w:sz w:val="21"/>
          <w:szCs w:val="21"/>
          <w:highlight w:val="none"/>
        </w:rPr>
        <w:t>“采购代理机构”</w:t>
      </w:r>
      <w:r>
        <w:rPr>
          <w:rFonts w:ascii="宋体" w:hAnsi="宋体" w:eastAsia="宋体"/>
          <w:color w:val="auto"/>
          <w:sz w:val="21"/>
          <w:szCs w:val="21"/>
          <w:highlight w:val="none"/>
        </w:rPr>
        <w:t>）受</w:t>
      </w:r>
      <w:r>
        <w:rPr>
          <w:rFonts w:hint="eastAsia" w:ascii="宋体" w:hAnsi="宋体" w:eastAsia="宋体"/>
          <w:b/>
          <w:color w:val="auto"/>
          <w:sz w:val="21"/>
          <w:szCs w:val="21"/>
          <w:highlight w:val="none"/>
          <w:u w:val="single"/>
        </w:rPr>
        <w:t>东莞市横沥镇石涌股份经济联合社</w:t>
      </w:r>
      <w:r>
        <w:rPr>
          <w:rFonts w:ascii="宋体" w:hAnsi="宋体" w:eastAsia="宋体"/>
          <w:color w:val="auto"/>
          <w:sz w:val="21"/>
          <w:szCs w:val="21"/>
          <w:highlight w:val="none"/>
        </w:rPr>
        <w:t>（以下简称</w:t>
      </w:r>
      <w:r>
        <w:rPr>
          <w:rFonts w:hint="eastAsia" w:ascii="宋体" w:hAnsi="宋体" w:eastAsia="宋体"/>
          <w:color w:val="auto"/>
          <w:sz w:val="21"/>
          <w:szCs w:val="21"/>
          <w:highlight w:val="none"/>
        </w:rPr>
        <w:t>“采购人”</w:t>
      </w:r>
      <w:r>
        <w:rPr>
          <w:rFonts w:ascii="宋体" w:hAnsi="宋体" w:eastAsia="宋体"/>
          <w:color w:val="auto"/>
          <w:sz w:val="21"/>
          <w:szCs w:val="21"/>
          <w:highlight w:val="none"/>
        </w:rPr>
        <w:t>）委托，</w:t>
      </w:r>
      <w:r>
        <w:rPr>
          <w:rFonts w:hint="eastAsia" w:ascii="宋体" w:hAnsi="宋体" w:eastAsia="宋体"/>
          <w:color w:val="auto"/>
          <w:sz w:val="21"/>
          <w:szCs w:val="21"/>
          <w:highlight w:val="none"/>
        </w:rPr>
        <w:t>现</w:t>
      </w:r>
      <w:r>
        <w:rPr>
          <w:rFonts w:ascii="宋体" w:hAnsi="宋体" w:eastAsia="宋体"/>
          <w:color w:val="auto"/>
          <w:sz w:val="21"/>
          <w:szCs w:val="21"/>
          <w:highlight w:val="none"/>
        </w:rPr>
        <w:t>就</w:t>
      </w:r>
      <w:r>
        <w:rPr>
          <w:rFonts w:hint="eastAsia" w:ascii="宋体" w:hAnsi="宋体" w:eastAsia="宋体"/>
          <w:b/>
          <w:color w:val="auto"/>
          <w:sz w:val="21"/>
          <w:szCs w:val="21"/>
          <w:highlight w:val="none"/>
          <w:u w:val="single"/>
        </w:rPr>
        <w:t>东莞市横沥镇石涌股份经济联合社环卫清扫保洁项目</w:t>
      </w:r>
      <w:r>
        <w:rPr>
          <w:rFonts w:hint="eastAsia" w:ascii="宋体" w:hAnsi="宋体" w:eastAsia="宋体"/>
          <w:color w:val="auto"/>
          <w:sz w:val="21"/>
          <w:szCs w:val="21"/>
          <w:highlight w:val="none"/>
        </w:rPr>
        <w:t>（采购项目编号：</w:t>
      </w:r>
      <w:r>
        <w:rPr>
          <w:rFonts w:hint="eastAsia" w:ascii="宋体" w:hAnsi="宋体" w:eastAsia="宋体"/>
          <w:b/>
          <w:color w:val="auto"/>
          <w:sz w:val="21"/>
          <w:szCs w:val="21"/>
          <w:highlight w:val="none"/>
          <w:u w:val="single"/>
        </w:rPr>
        <w:t>0832-SFCX22DG087C</w:t>
      </w:r>
      <w:r>
        <w:rPr>
          <w:rFonts w:hint="eastAsia" w:ascii="宋体" w:hAnsi="宋体" w:eastAsia="宋体"/>
          <w:color w:val="auto"/>
          <w:sz w:val="21"/>
          <w:szCs w:val="21"/>
          <w:highlight w:val="none"/>
        </w:rPr>
        <w:t>）</w:t>
      </w:r>
      <w:r>
        <w:rPr>
          <w:rFonts w:hint="eastAsia" w:ascii="宋体" w:hAnsi="宋体" w:eastAsia="宋体" w:cs="Times New Roman"/>
          <w:color w:val="auto"/>
          <w:sz w:val="21"/>
          <w:szCs w:val="21"/>
          <w:highlight w:val="none"/>
        </w:rPr>
        <w:t>进行国内公开招标采购</w:t>
      </w:r>
      <w:r>
        <w:rPr>
          <w:rFonts w:hint="eastAsia" w:ascii="宋体" w:hAnsi="宋体" w:eastAsia="宋体"/>
          <w:color w:val="auto"/>
          <w:sz w:val="21"/>
          <w:szCs w:val="21"/>
          <w:highlight w:val="none"/>
        </w:rPr>
        <w:t>，欢迎符合招标文件要求的国内投标人参加投标</w:t>
      </w:r>
      <w:r>
        <w:rPr>
          <w:rFonts w:ascii="宋体" w:hAnsi="宋体" w:eastAsia="宋体"/>
          <w:color w:val="auto"/>
          <w:sz w:val="21"/>
          <w:szCs w:val="21"/>
          <w:highlight w:val="none"/>
        </w:rPr>
        <w:t>。有关事项如下：</w:t>
      </w:r>
    </w:p>
    <w:p>
      <w:pPr>
        <w:keepNext w:val="0"/>
        <w:keepLines w:val="0"/>
        <w:pageBreakBefore w:val="0"/>
        <w:widowControl/>
        <w:kinsoku/>
        <w:wordWrap/>
        <w:overflowPunct/>
        <w:topLinePunct w:val="0"/>
        <w:autoSpaceDE/>
        <w:autoSpaceDN/>
        <w:bidi w:val="0"/>
        <w:adjustRightInd/>
        <w:snapToGrid/>
        <w:spacing w:after="0" w:line="400" w:lineRule="exact"/>
        <w:textAlignment w:val="auto"/>
        <w:rPr>
          <w:rFonts w:hint="eastAsia" w:ascii="宋体" w:hAnsi="宋体" w:eastAsia="宋体"/>
          <w:b/>
          <w:color w:val="auto"/>
          <w:sz w:val="21"/>
          <w:szCs w:val="21"/>
          <w:highlight w:val="none"/>
        </w:rPr>
      </w:pPr>
    </w:p>
    <w:p>
      <w:pPr>
        <w:keepNext w:val="0"/>
        <w:keepLines w:val="0"/>
        <w:pageBreakBefore w:val="0"/>
        <w:widowControl/>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一、招标项目的名称、用途、简要技术要求或者招标项目的性质</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1、项目内容：</w:t>
      </w:r>
      <w:r>
        <w:rPr>
          <w:rFonts w:hint="eastAsia" w:ascii="宋体" w:hAnsi="宋体" w:eastAsia="宋体"/>
          <w:b/>
          <w:color w:val="auto"/>
          <w:sz w:val="21"/>
          <w:szCs w:val="21"/>
          <w:highlight w:val="none"/>
          <w:u w:val="single"/>
        </w:rPr>
        <w:t>环卫清扫保洁</w:t>
      </w:r>
      <w:r>
        <w:rPr>
          <w:rFonts w:hint="eastAsia" w:ascii="宋体" w:hAnsi="宋体" w:eastAsia="宋体"/>
          <w:color w:val="auto"/>
          <w:sz w:val="21"/>
          <w:szCs w:val="21"/>
          <w:highlight w:val="none"/>
        </w:rPr>
        <w:t>采购一项，</w:t>
      </w:r>
      <w:r>
        <w:rPr>
          <w:rFonts w:hint="eastAsia" w:ascii="宋体" w:hAnsi="宋体" w:eastAsia="宋体"/>
          <w:color w:val="auto"/>
          <w:sz w:val="21"/>
          <w:szCs w:val="21"/>
          <w:highlight w:val="none"/>
          <w:lang w:eastAsia="zh-CN"/>
        </w:rPr>
        <w:t>固定结算价</w:t>
      </w:r>
      <w:r>
        <w:rPr>
          <w:rFonts w:hint="eastAsia" w:ascii="宋体" w:hAnsi="宋体" w:eastAsia="宋体"/>
          <w:color w:val="auto"/>
          <w:sz w:val="21"/>
          <w:szCs w:val="21"/>
          <w:highlight w:val="none"/>
        </w:rPr>
        <w:t>：</w:t>
      </w:r>
      <w:r>
        <w:rPr>
          <w:rFonts w:hint="eastAsia" w:ascii="宋体" w:hAnsi="宋体" w:eastAsia="宋体"/>
          <w:b/>
          <w:color w:val="auto"/>
          <w:sz w:val="21"/>
          <w:szCs w:val="21"/>
          <w:highlight w:val="none"/>
          <w:u w:val="single"/>
          <w:lang w:val="en-US" w:eastAsia="zh-CN"/>
        </w:rPr>
        <w:t>17,418,237</w:t>
      </w:r>
      <w:r>
        <w:rPr>
          <w:rFonts w:hint="eastAsia" w:ascii="宋体" w:hAnsi="宋体" w:eastAsia="宋体"/>
          <w:b/>
          <w:color w:val="auto"/>
          <w:sz w:val="21"/>
          <w:szCs w:val="21"/>
          <w:highlight w:val="none"/>
          <w:u w:val="single"/>
        </w:rPr>
        <w:t>.</w:t>
      </w:r>
      <w:r>
        <w:rPr>
          <w:rFonts w:hint="eastAsia" w:ascii="宋体" w:hAnsi="宋体" w:eastAsia="宋体"/>
          <w:b/>
          <w:color w:val="auto"/>
          <w:sz w:val="21"/>
          <w:szCs w:val="21"/>
          <w:highlight w:val="none"/>
          <w:u w:val="single"/>
          <w:lang w:val="en-US" w:eastAsia="zh-CN"/>
        </w:rPr>
        <w:t>00</w:t>
      </w:r>
      <w:r>
        <w:rPr>
          <w:rFonts w:hint="eastAsia" w:ascii="宋体" w:hAnsi="宋体" w:eastAsia="宋体"/>
          <w:color w:val="auto"/>
          <w:sz w:val="21"/>
          <w:szCs w:val="21"/>
          <w:highlight w:val="none"/>
        </w:rPr>
        <w:t>元。</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theme="minorBidi"/>
          <w:color w:val="auto"/>
          <w:sz w:val="21"/>
          <w:szCs w:val="21"/>
          <w:highlight w:val="none"/>
          <w:lang w:val="en-US" w:eastAsia="zh-CN" w:bidi="ar-SA"/>
        </w:rPr>
      </w:pPr>
      <w:r>
        <w:rPr>
          <w:rFonts w:hint="eastAsia" w:ascii="宋体" w:hAnsi="宋体" w:eastAsia="宋体" w:cstheme="minorBidi"/>
          <w:color w:val="auto"/>
          <w:sz w:val="21"/>
          <w:szCs w:val="21"/>
          <w:highlight w:val="none"/>
          <w:lang w:val="en-US" w:eastAsia="zh-CN" w:bidi="ar-SA"/>
        </w:rPr>
        <w:t>2、本项目不接受联合体投标。</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、简要技术要求或招标项目的性质：详细</w:t>
      </w:r>
      <w:bookmarkStart w:id="236" w:name="_GoBack"/>
      <w:bookmarkEnd w:id="236"/>
      <w:r>
        <w:rPr>
          <w:rFonts w:hint="eastAsia" w:ascii="宋体" w:hAnsi="宋体" w:eastAsia="宋体"/>
          <w:color w:val="auto"/>
          <w:sz w:val="21"/>
          <w:szCs w:val="21"/>
          <w:highlight w:val="none"/>
        </w:rPr>
        <w:t>内容请参阅招标文件第三部分《用户需求书》。</w:t>
      </w:r>
    </w:p>
    <w:p>
      <w:pPr>
        <w:keepNext w:val="0"/>
        <w:keepLines w:val="0"/>
        <w:pageBreakBefore w:val="0"/>
        <w:widowControl/>
        <w:kinsoku/>
        <w:wordWrap/>
        <w:overflowPunct/>
        <w:topLinePunct w:val="0"/>
        <w:autoSpaceDE/>
        <w:autoSpaceDN/>
        <w:bidi w:val="0"/>
        <w:adjustRightInd/>
        <w:snapToGrid/>
        <w:spacing w:after="0" w:line="400" w:lineRule="exact"/>
        <w:textAlignment w:val="auto"/>
        <w:rPr>
          <w:rFonts w:hint="eastAsia" w:ascii="宋体" w:hAnsi="宋体" w:eastAsia="宋体"/>
          <w:b/>
          <w:color w:val="auto"/>
          <w:sz w:val="21"/>
          <w:szCs w:val="21"/>
          <w:highlight w:val="none"/>
        </w:rPr>
      </w:pPr>
    </w:p>
    <w:p>
      <w:pPr>
        <w:keepNext w:val="0"/>
        <w:keepLines w:val="0"/>
        <w:pageBreakBefore w:val="0"/>
        <w:widowControl/>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二、</w:t>
      </w:r>
      <w:r>
        <w:rPr>
          <w:rFonts w:hint="eastAsia" w:ascii="宋体" w:hAnsi="宋体" w:eastAsia="宋体"/>
          <w:b/>
          <w:color w:val="auto"/>
          <w:sz w:val="21"/>
          <w:szCs w:val="21"/>
          <w:highlight w:val="none"/>
          <w:lang w:eastAsia="zh-CN"/>
        </w:rPr>
        <w:t>申请人的</w:t>
      </w:r>
      <w:r>
        <w:rPr>
          <w:rFonts w:hint="eastAsia" w:ascii="宋体" w:hAnsi="宋体" w:eastAsia="宋体"/>
          <w:b/>
          <w:color w:val="auto"/>
          <w:sz w:val="21"/>
          <w:szCs w:val="21"/>
          <w:highlight w:val="none"/>
        </w:rPr>
        <w:t>资格要求</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1.投标供应商应具备《政府采购法》第二十二条规定的条件，提供下列材料：</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2）有依法缴纳税收和社会保障资金的良好记录：提供投标截止日前6个月内任意1个月依法缴纳税收和社会保障资金的相关材料。如依法免税或不需要缴纳社会保障资金的</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rPr>
        <w:t>提供相应证明材料。</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3）具有良好的商业信誉和健全的财务会计制度</w:t>
      </w:r>
      <w:r>
        <w:rPr>
          <w:rFonts w:hint="eastAsia" w:ascii="宋体" w:hAnsi="宋体" w:eastAsia="宋体"/>
          <w:color w:val="auto"/>
          <w:sz w:val="21"/>
          <w:szCs w:val="21"/>
          <w:highlight w:val="none"/>
          <w:lang w:eastAsia="zh-CN"/>
        </w:rPr>
        <w:t>：供应商必须具有良好的商业信誉和健全的财务会计制度</w:t>
      </w:r>
      <w:r>
        <w:rPr>
          <w:rFonts w:hint="eastAsia" w:ascii="宋体" w:hAnsi="宋体" w:eastAsia="宋体"/>
          <w:color w:val="auto"/>
          <w:sz w:val="21"/>
          <w:szCs w:val="21"/>
          <w:highlight w:val="none"/>
        </w:rPr>
        <w:t>（提供2020年度</w:t>
      </w:r>
      <w:r>
        <w:rPr>
          <w:rFonts w:hint="eastAsia" w:ascii="宋体" w:hAnsi="宋体" w:eastAsia="宋体"/>
          <w:color w:val="auto"/>
          <w:sz w:val="21"/>
          <w:szCs w:val="21"/>
          <w:highlight w:val="none"/>
          <w:lang w:eastAsia="zh-CN"/>
        </w:rPr>
        <w:t>或</w:t>
      </w:r>
      <w:r>
        <w:rPr>
          <w:rFonts w:hint="eastAsia" w:ascii="宋体" w:hAnsi="宋体" w:eastAsia="宋体"/>
          <w:color w:val="auto"/>
          <w:sz w:val="21"/>
          <w:szCs w:val="21"/>
          <w:highlight w:val="none"/>
          <w:lang w:val="en-US" w:eastAsia="zh-CN"/>
        </w:rPr>
        <w:t>2021年度</w:t>
      </w:r>
      <w:r>
        <w:rPr>
          <w:rFonts w:hint="eastAsia" w:ascii="宋体" w:hAnsi="宋体" w:eastAsia="宋体"/>
          <w:color w:val="auto"/>
          <w:sz w:val="21"/>
          <w:szCs w:val="21"/>
          <w:highlight w:val="none"/>
        </w:rPr>
        <w:t>财务状况报告或基本开户行出具的资信证明）。</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4）履行合同所必须的设备和专业技术能力：填报设备及专业技术能力情况</w:t>
      </w:r>
      <w:r>
        <w:rPr>
          <w:rFonts w:hint="eastAsia" w:ascii="宋体" w:hAnsi="宋体" w:eastAsia="宋体"/>
          <w:color w:val="auto"/>
          <w:sz w:val="21"/>
          <w:szCs w:val="21"/>
          <w:highlight w:val="none"/>
          <w:lang w:eastAsia="zh-CN"/>
        </w:rPr>
        <w:t>，格式自拟</w:t>
      </w:r>
      <w:r>
        <w:rPr>
          <w:rFonts w:hint="eastAsia" w:ascii="宋体" w:hAnsi="宋体" w:eastAsia="宋体"/>
          <w:color w:val="auto"/>
          <w:sz w:val="21"/>
          <w:szCs w:val="21"/>
          <w:highlight w:val="none"/>
        </w:rPr>
        <w:t>。</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rPr>
        <w:t>5）参加采购活动前3年内，在经营活动中没有重大违法记录：在经营活动中没有重大违法记录：参照投标</w:t>
      </w:r>
      <w:r>
        <w:rPr>
          <w:rFonts w:hint="eastAsia" w:ascii="宋体" w:hAnsi="宋体" w:eastAsia="宋体"/>
          <w:color w:val="auto"/>
          <w:sz w:val="21"/>
          <w:szCs w:val="21"/>
          <w:highlight w:val="none"/>
          <w:lang w:eastAsia="zh-CN"/>
        </w:rPr>
        <w:t>文件格式相关承诺格式内容</w:t>
      </w:r>
      <w:r>
        <w:rPr>
          <w:rFonts w:hint="eastAsia" w:ascii="宋体" w:hAnsi="宋体" w:eastAsia="宋体"/>
          <w:color w:val="auto"/>
          <w:sz w:val="21"/>
          <w:szCs w:val="21"/>
          <w:highlight w:val="none"/>
        </w:rPr>
        <w:t>。重大违法记录，是指供应商因违法经营受到刑事处罚或者责令停产停业、吊销许可证或者执照、较大数额罚款等行政处罚。</w:t>
      </w:r>
    </w:p>
    <w:p>
      <w:pPr>
        <w:keepNext w:val="0"/>
        <w:keepLines w:val="0"/>
        <w:pageBreakBefore w:val="0"/>
        <w:widowControl/>
        <w:kinsoku/>
        <w:wordWrap/>
        <w:overflowPunct/>
        <w:topLinePunct w:val="0"/>
        <w:autoSpaceDE/>
        <w:autoSpaceDN/>
        <w:bidi w:val="0"/>
        <w:adjustRightInd/>
        <w:snapToGrid/>
        <w:spacing w:after="0" w:line="400" w:lineRule="exact"/>
        <w:ind w:firstLine="422" w:firstLineChars="200"/>
        <w:textAlignment w:val="auto"/>
        <w:rPr>
          <w:rFonts w:hint="eastAsia"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投标人如不能完整提供上述2）-4）项证明资料的，须提供资格申明（参照投标文件格式相关承诺格式内容）。</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6</w:t>
      </w:r>
      <w:r>
        <w:rPr>
          <w:rFonts w:hint="eastAsia" w:ascii="宋体" w:hAnsi="宋体" w:eastAsia="宋体"/>
          <w:color w:val="auto"/>
          <w:sz w:val="21"/>
          <w:szCs w:val="21"/>
          <w:highlight w:val="none"/>
        </w:rPr>
        <w:t>）</w:t>
      </w:r>
      <w:r>
        <w:rPr>
          <w:rFonts w:hint="eastAsia" w:ascii="宋体" w:hAnsi="宋体" w:eastAsia="宋体"/>
          <w:color w:val="auto"/>
          <w:sz w:val="21"/>
          <w:szCs w:val="21"/>
          <w:highlight w:val="none"/>
          <w:lang w:eastAsia="zh-CN"/>
        </w:rPr>
        <w:t>信用记录：</w:t>
      </w:r>
      <w:r>
        <w:rPr>
          <w:rFonts w:hint="eastAsia" w:ascii="宋体" w:hAnsi="宋体" w:eastAsia="宋体"/>
          <w:color w:val="auto"/>
          <w:sz w:val="21"/>
          <w:szCs w:val="21"/>
          <w:highlight w:val="none"/>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r>
        <w:rPr>
          <w:rFonts w:hint="eastAsia" w:ascii="宋体" w:hAnsi="宋体" w:eastAsia="宋体"/>
          <w:color w:val="auto"/>
          <w:sz w:val="21"/>
          <w:szCs w:val="21"/>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lang w:val="en-US" w:eastAsia="zh-CN"/>
        </w:rPr>
        <w:t>7</w:t>
      </w:r>
      <w:r>
        <w:rPr>
          <w:rFonts w:hint="eastAsia" w:ascii="宋体" w:hAnsi="宋体" w:eastAsia="宋体"/>
          <w:color w:val="auto"/>
          <w:sz w:val="21"/>
          <w:szCs w:val="21"/>
          <w:highlight w:val="none"/>
        </w:rPr>
        <w:t>）供应商必须符合法律、行政法规规定的其他条件：单位负责人为同一人或者存在直接控股、管理关系的不同供应商，不得同时参加本采购项目投标。为本项目提供整体设计、规范编制或者项目管理、监理、检测等服务的供应商，不得再参与本项目投标。</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val="en-US" w:eastAsia="zh-CN"/>
        </w:rPr>
        <w:t>2.</w:t>
      </w:r>
      <w:r>
        <w:rPr>
          <w:rFonts w:hint="eastAsia" w:ascii="宋体" w:hAnsi="宋体" w:eastAsia="宋体"/>
          <w:color w:val="auto"/>
          <w:sz w:val="21"/>
          <w:szCs w:val="21"/>
          <w:highlight w:val="none"/>
          <w:lang w:eastAsia="zh-CN"/>
        </w:rPr>
        <w:t>本项目的特定资格要求：</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eastAsia="宋体"/>
          <w:color w:val="auto"/>
          <w:highlight w:val="none"/>
          <w:lang w:eastAsia="zh-CN"/>
        </w:rPr>
      </w:pPr>
      <w:r>
        <w:rPr>
          <w:rFonts w:hint="eastAsia" w:ascii="宋体" w:hAnsi="宋体" w:eastAsia="宋体"/>
          <w:color w:val="auto"/>
          <w:sz w:val="21"/>
          <w:szCs w:val="21"/>
          <w:highlight w:val="none"/>
        </w:rPr>
        <w:t>（1）</w:t>
      </w:r>
      <w:r>
        <w:rPr>
          <w:rFonts w:hint="eastAsia" w:ascii="宋体" w:hAnsi="宋体" w:eastAsia="宋体"/>
          <w:color w:val="auto"/>
          <w:sz w:val="21"/>
          <w:szCs w:val="21"/>
          <w:highlight w:val="none"/>
          <w:lang w:eastAsia="zh-CN"/>
        </w:rPr>
        <w:t>无。</w:t>
      </w:r>
    </w:p>
    <w:p>
      <w:pPr>
        <w:keepNext w:val="0"/>
        <w:keepLines w:val="0"/>
        <w:pageBreakBefore w:val="0"/>
        <w:widowControl/>
        <w:kinsoku/>
        <w:wordWrap/>
        <w:overflowPunct/>
        <w:topLinePunct w:val="0"/>
        <w:autoSpaceDE/>
        <w:autoSpaceDN/>
        <w:bidi w:val="0"/>
        <w:adjustRightInd/>
        <w:snapToGrid/>
        <w:spacing w:after="0" w:line="400" w:lineRule="exact"/>
        <w:textAlignment w:val="auto"/>
        <w:rPr>
          <w:rFonts w:hint="eastAsia" w:ascii="宋体" w:hAnsi="宋体" w:eastAsia="宋体"/>
          <w:b/>
          <w:color w:val="auto"/>
          <w:sz w:val="21"/>
          <w:szCs w:val="21"/>
          <w:highlight w:val="none"/>
        </w:rPr>
      </w:pPr>
    </w:p>
    <w:p>
      <w:pPr>
        <w:keepNext w:val="0"/>
        <w:keepLines w:val="0"/>
        <w:pageBreakBefore w:val="0"/>
        <w:widowControl/>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三、项目公示时间、</w:t>
      </w:r>
      <w:r>
        <w:rPr>
          <w:rFonts w:hint="eastAsia" w:ascii="宋体" w:hAnsi="宋体" w:eastAsia="宋体"/>
          <w:b/>
          <w:color w:val="auto"/>
          <w:sz w:val="21"/>
          <w:szCs w:val="21"/>
          <w:highlight w:val="none"/>
          <w:lang w:eastAsia="zh-CN"/>
        </w:rPr>
        <w:t>招标文件领购</w:t>
      </w:r>
      <w:r>
        <w:rPr>
          <w:rFonts w:hint="eastAsia" w:ascii="宋体" w:hAnsi="宋体" w:eastAsia="宋体"/>
          <w:b/>
          <w:color w:val="auto"/>
          <w:sz w:val="21"/>
          <w:szCs w:val="21"/>
          <w:highlight w:val="none"/>
        </w:rPr>
        <w:t>时间、地点、方式</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1、项目公示时间：</w:t>
      </w:r>
      <w:r>
        <w:rPr>
          <w:rFonts w:hint="eastAsia" w:ascii="宋体" w:hAnsi="宋体" w:eastAsia="宋体"/>
          <w:color w:val="auto"/>
          <w:sz w:val="21"/>
          <w:szCs w:val="21"/>
          <w:highlight w:val="none"/>
          <w:lang w:eastAsia="zh-CN"/>
        </w:rPr>
        <w:t>2022年</w:t>
      </w:r>
      <w:r>
        <w:rPr>
          <w:rFonts w:hint="eastAsia" w:ascii="宋体" w:hAnsi="宋体" w:eastAsia="宋体"/>
          <w:color w:val="auto"/>
          <w:sz w:val="21"/>
          <w:szCs w:val="21"/>
          <w:highlight w:val="none"/>
          <w:lang w:val="en-US" w:eastAsia="zh-CN"/>
        </w:rPr>
        <w:t>6</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lang w:val="en-US" w:eastAsia="zh-CN"/>
        </w:rPr>
        <w:t>1</w:t>
      </w:r>
      <w:r>
        <w:rPr>
          <w:rFonts w:hint="eastAsia" w:ascii="宋体" w:hAnsi="宋体" w:eastAsia="宋体"/>
          <w:color w:val="auto"/>
          <w:sz w:val="21"/>
          <w:szCs w:val="21"/>
          <w:highlight w:val="none"/>
        </w:rPr>
        <w:t>日起至</w:t>
      </w:r>
      <w:r>
        <w:rPr>
          <w:rFonts w:hint="eastAsia" w:ascii="宋体" w:hAnsi="宋体" w:eastAsia="宋体"/>
          <w:color w:val="auto"/>
          <w:sz w:val="21"/>
          <w:szCs w:val="21"/>
          <w:highlight w:val="none"/>
          <w:lang w:eastAsia="zh-CN"/>
        </w:rPr>
        <w:t>2022年</w:t>
      </w:r>
      <w:r>
        <w:rPr>
          <w:rFonts w:hint="eastAsia" w:ascii="宋体" w:hAnsi="宋体" w:eastAsia="宋体"/>
          <w:color w:val="auto"/>
          <w:sz w:val="21"/>
          <w:szCs w:val="21"/>
          <w:highlight w:val="none"/>
          <w:lang w:val="en-US" w:eastAsia="zh-CN"/>
        </w:rPr>
        <w:t>6</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lang w:val="en-US" w:eastAsia="zh-CN"/>
        </w:rPr>
        <w:t>9</w:t>
      </w:r>
      <w:r>
        <w:rPr>
          <w:rFonts w:hint="eastAsia" w:ascii="宋体" w:hAnsi="宋体" w:eastAsia="宋体"/>
          <w:color w:val="auto"/>
          <w:sz w:val="21"/>
          <w:szCs w:val="21"/>
          <w:highlight w:val="none"/>
        </w:rPr>
        <w:t>日。</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w:t>
      </w:r>
      <w:r>
        <w:rPr>
          <w:rFonts w:hint="eastAsia" w:ascii="宋体" w:hAnsi="宋体" w:eastAsia="宋体"/>
          <w:color w:val="auto"/>
          <w:sz w:val="21"/>
          <w:szCs w:val="21"/>
          <w:highlight w:val="none"/>
          <w:lang w:eastAsia="zh-CN"/>
        </w:rPr>
        <w:t>招标文件领购</w:t>
      </w:r>
      <w:r>
        <w:rPr>
          <w:rFonts w:ascii="宋体" w:hAnsi="宋体" w:eastAsia="宋体"/>
          <w:color w:val="auto"/>
          <w:sz w:val="21"/>
          <w:szCs w:val="21"/>
          <w:highlight w:val="none"/>
        </w:rPr>
        <w:t>时间：</w:t>
      </w:r>
      <w:r>
        <w:rPr>
          <w:rFonts w:hint="eastAsia" w:ascii="宋体" w:hAnsi="宋体" w:eastAsia="宋体"/>
          <w:color w:val="auto"/>
          <w:sz w:val="21"/>
          <w:szCs w:val="21"/>
          <w:highlight w:val="none"/>
          <w:lang w:eastAsia="zh-CN"/>
        </w:rPr>
        <w:t>2022年</w:t>
      </w:r>
      <w:r>
        <w:rPr>
          <w:rFonts w:hint="eastAsia" w:ascii="宋体" w:hAnsi="宋体" w:eastAsia="宋体"/>
          <w:color w:val="auto"/>
          <w:sz w:val="21"/>
          <w:szCs w:val="21"/>
          <w:highlight w:val="none"/>
          <w:lang w:val="en-US" w:eastAsia="zh-CN"/>
        </w:rPr>
        <w:t>6</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lang w:val="en-US" w:eastAsia="zh-CN"/>
        </w:rPr>
        <w:t>1</w:t>
      </w:r>
      <w:r>
        <w:rPr>
          <w:rFonts w:hint="eastAsia" w:ascii="宋体" w:hAnsi="宋体" w:eastAsia="宋体"/>
          <w:color w:val="auto"/>
          <w:sz w:val="21"/>
          <w:szCs w:val="21"/>
          <w:highlight w:val="none"/>
        </w:rPr>
        <w:t>日起至</w:t>
      </w:r>
      <w:r>
        <w:rPr>
          <w:rFonts w:hint="eastAsia" w:ascii="宋体" w:hAnsi="宋体" w:eastAsia="宋体"/>
          <w:color w:val="auto"/>
          <w:sz w:val="21"/>
          <w:szCs w:val="21"/>
          <w:highlight w:val="none"/>
          <w:lang w:eastAsia="zh-CN"/>
        </w:rPr>
        <w:t>2022年</w:t>
      </w:r>
      <w:r>
        <w:rPr>
          <w:rFonts w:hint="eastAsia" w:ascii="宋体" w:hAnsi="宋体" w:eastAsia="宋体"/>
          <w:color w:val="auto"/>
          <w:sz w:val="21"/>
          <w:szCs w:val="21"/>
          <w:highlight w:val="none"/>
          <w:lang w:val="en-US" w:eastAsia="zh-CN"/>
        </w:rPr>
        <w:t>6</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lang w:val="en-US" w:eastAsia="zh-CN"/>
        </w:rPr>
        <w:t>9</w:t>
      </w:r>
      <w:r>
        <w:rPr>
          <w:rFonts w:hint="eastAsia" w:ascii="宋体" w:hAnsi="宋体" w:eastAsia="宋体"/>
          <w:color w:val="auto"/>
          <w:sz w:val="21"/>
          <w:szCs w:val="21"/>
          <w:highlight w:val="none"/>
        </w:rPr>
        <w:t>日（节假日除外），上午9：00～12：00，下午14：</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0～17：</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 xml:space="preserve">0（北京时间）。 </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default" w:ascii="宋体" w:hAnsi="宋体" w:eastAsia="宋体"/>
          <w:b w:val="0"/>
          <w:bCs w:val="0"/>
          <w:color w:val="auto"/>
          <w:sz w:val="21"/>
          <w:szCs w:val="21"/>
          <w:highlight w:val="none"/>
          <w:lang w:val="en-US" w:eastAsia="zh-CN"/>
        </w:rPr>
      </w:pP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w:t>
      </w:r>
      <w:r>
        <w:rPr>
          <w:rFonts w:hint="eastAsia" w:ascii="宋体" w:hAnsi="宋体" w:eastAsia="宋体"/>
          <w:color w:val="auto"/>
          <w:sz w:val="21"/>
          <w:szCs w:val="21"/>
          <w:highlight w:val="none"/>
          <w:lang w:eastAsia="zh-CN"/>
        </w:rPr>
        <w:t>招标文件领购</w:t>
      </w:r>
      <w:r>
        <w:rPr>
          <w:rFonts w:hint="eastAsia" w:ascii="宋体" w:hAnsi="宋体" w:eastAsia="宋体"/>
          <w:color w:val="auto"/>
          <w:sz w:val="21"/>
          <w:szCs w:val="21"/>
          <w:highlight w:val="none"/>
        </w:rPr>
        <w:t>方式：</w:t>
      </w:r>
      <w:r>
        <w:rPr>
          <w:rFonts w:hint="eastAsia" w:ascii="宋体" w:hAnsi="宋体" w:eastAsia="宋体"/>
          <w:color w:val="auto"/>
          <w:sz w:val="21"/>
          <w:szCs w:val="21"/>
          <w:highlight w:val="none"/>
          <w:lang w:eastAsia="zh-CN"/>
        </w:rPr>
        <w:t>线下领购或线上领购</w:t>
      </w:r>
      <w:r>
        <w:rPr>
          <w:rFonts w:hint="eastAsia" w:ascii="宋体" w:hAnsi="宋体" w:eastAsia="宋体"/>
          <w:color w:val="auto"/>
          <w:sz w:val="21"/>
          <w:szCs w:val="21"/>
          <w:highlight w:val="none"/>
        </w:rPr>
        <w:t>。</w:t>
      </w:r>
    </w:p>
    <w:p>
      <w:pPr>
        <w:keepNext w:val="0"/>
        <w:keepLines w:val="0"/>
        <w:pageBreakBefore w:val="0"/>
        <w:widowControl/>
        <w:kinsoku/>
        <w:wordWrap/>
        <w:overflowPunct/>
        <w:topLinePunct w:val="0"/>
        <w:autoSpaceDE/>
        <w:autoSpaceDN/>
        <w:bidi w:val="0"/>
        <w:adjustRightInd/>
        <w:snapToGrid/>
        <w:spacing w:after="0" w:line="400" w:lineRule="exact"/>
        <w:ind w:firstLine="422" w:firstLineChars="200"/>
        <w:textAlignment w:val="auto"/>
        <w:rPr>
          <w:rFonts w:hint="eastAsia"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线下领购：</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（1）投标人可自行打印招标文件中的“附件 获取招标文件登记表”进行填写并带到现场进行领购，并现场领取发票；</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lang w:val="en-US" w:eastAsia="zh-CN"/>
        </w:rPr>
        <w:t>2</w:t>
      </w:r>
      <w:r>
        <w:rPr>
          <w:rFonts w:hint="eastAsia" w:ascii="宋体" w:hAnsi="宋体" w:eastAsia="宋体"/>
          <w:color w:val="auto"/>
          <w:sz w:val="21"/>
          <w:szCs w:val="21"/>
          <w:highlight w:val="none"/>
          <w:lang w:eastAsia="zh-CN"/>
        </w:rPr>
        <w:t>）招标文件领购</w:t>
      </w:r>
      <w:r>
        <w:rPr>
          <w:rFonts w:hint="eastAsia" w:ascii="宋体" w:hAnsi="宋体" w:eastAsia="宋体"/>
          <w:color w:val="auto"/>
          <w:sz w:val="21"/>
          <w:szCs w:val="21"/>
          <w:highlight w:val="none"/>
        </w:rPr>
        <w:t>地点：东莞市南城街道鸿福西路81号国际商会大厦706室。</w:t>
      </w:r>
    </w:p>
    <w:p>
      <w:pPr>
        <w:keepNext w:val="0"/>
        <w:keepLines w:val="0"/>
        <w:pageBreakBefore w:val="0"/>
        <w:widowControl/>
        <w:kinsoku/>
        <w:wordWrap/>
        <w:overflowPunct/>
        <w:topLinePunct w:val="0"/>
        <w:autoSpaceDE/>
        <w:autoSpaceDN/>
        <w:bidi w:val="0"/>
        <w:adjustRightInd/>
        <w:snapToGrid/>
        <w:spacing w:after="0" w:line="400" w:lineRule="exact"/>
        <w:ind w:firstLine="422" w:firstLineChars="200"/>
        <w:textAlignment w:val="auto"/>
        <w:rPr>
          <w:rFonts w:hint="eastAsia"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eastAsia="zh-CN"/>
        </w:rPr>
        <w:t>线上领购：</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（1）投标人微信公众号关注“三方诚信招标有限公司东莞分公司”，并按照小程序报名流程进行报名及缴费；</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default" w:ascii="宋体" w:hAnsi="宋体" w:eastAsia="宋体"/>
          <w:b/>
          <w:color w:val="auto"/>
          <w:sz w:val="21"/>
          <w:szCs w:val="21"/>
          <w:highlight w:val="none"/>
          <w:lang w:val="en-US" w:eastAsia="zh-CN"/>
        </w:rPr>
      </w:pPr>
      <w:r>
        <w:rPr>
          <w:rFonts w:hint="eastAsia" w:ascii="宋体" w:hAnsi="宋体" w:eastAsia="宋体"/>
          <w:color w:val="auto"/>
          <w:sz w:val="21"/>
          <w:szCs w:val="21"/>
          <w:highlight w:val="none"/>
          <w:lang w:val="en-US" w:eastAsia="zh-CN"/>
        </w:rPr>
        <w:t>（2）投标人须在招标文件领购时间内进行报名，逾期报名无效，任何投标人因逾期报名或误缴费用而导致报名无效的，投标人自行承担相应责任及费用。</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default"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4、领购注意事项：</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（1）</w:t>
      </w:r>
      <w:r>
        <w:rPr>
          <w:rFonts w:hint="eastAsia" w:ascii="宋体" w:hAnsi="宋体" w:eastAsia="宋体"/>
          <w:color w:val="auto"/>
          <w:sz w:val="21"/>
          <w:szCs w:val="21"/>
          <w:highlight w:val="none"/>
        </w:rPr>
        <w:t>投标人在</w:t>
      </w:r>
      <w:r>
        <w:rPr>
          <w:rFonts w:hint="eastAsia" w:ascii="宋体" w:hAnsi="宋体" w:eastAsia="宋体"/>
          <w:color w:val="auto"/>
          <w:sz w:val="21"/>
          <w:szCs w:val="21"/>
          <w:highlight w:val="none"/>
          <w:lang w:eastAsia="zh-CN"/>
        </w:rPr>
        <w:t>领购</w:t>
      </w:r>
      <w:r>
        <w:rPr>
          <w:rFonts w:hint="eastAsia" w:ascii="宋体" w:hAnsi="宋体" w:eastAsia="宋体"/>
          <w:color w:val="auto"/>
          <w:sz w:val="21"/>
          <w:szCs w:val="21"/>
          <w:highlight w:val="none"/>
        </w:rPr>
        <w:t>招标文件时须提供如下证明材料：《营业执照》复印件（加盖公章）或《事业单位法人证书》复印件（加盖公章）或其他主体证书复印件（加盖公章）</w:t>
      </w:r>
      <w:r>
        <w:rPr>
          <w:rFonts w:hint="eastAsia" w:ascii="宋体" w:hAnsi="宋体" w:eastAsia="宋体"/>
          <w:color w:val="auto"/>
          <w:sz w:val="21"/>
          <w:szCs w:val="21"/>
          <w:highlight w:val="none"/>
          <w:lang w:eastAsia="zh-CN"/>
        </w:rPr>
        <w:t>，自然人参加投标须提供自然人的身份证明材料</w:t>
      </w:r>
      <w:r>
        <w:rPr>
          <w:rFonts w:hint="eastAsia" w:ascii="宋体" w:hAnsi="宋体" w:eastAsia="宋体"/>
          <w:color w:val="auto"/>
          <w:sz w:val="21"/>
          <w:szCs w:val="21"/>
          <w:highlight w:val="none"/>
        </w:rPr>
        <w:t>；分支机构投标的，须提供总公司和分公司营业执照副本复印件，总公司出具给分支机构的授权书</w:t>
      </w:r>
      <w:r>
        <w:rPr>
          <w:rFonts w:hint="eastAsia" w:ascii="宋体" w:hAnsi="宋体" w:eastAsia="宋体"/>
          <w:color w:val="auto"/>
          <w:sz w:val="21"/>
          <w:szCs w:val="21"/>
          <w:highlight w:val="none"/>
          <w:lang w:eastAsia="zh-CN"/>
        </w:rPr>
        <w:t>；</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lang w:val="en-US" w:eastAsia="zh-CN"/>
        </w:rPr>
        <w:t>2</w:t>
      </w:r>
      <w:r>
        <w:rPr>
          <w:rFonts w:hint="eastAsia" w:ascii="宋体" w:hAnsi="宋体" w:eastAsia="宋体"/>
          <w:color w:val="auto"/>
          <w:sz w:val="21"/>
          <w:szCs w:val="21"/>
          <w:highlight w:val="none"/>
          <w:lang w:eastAsia="zh-CN"/>
        </w:rPr>
        <w:t>）招标文件领购价</w:t>
      </w:r>
      <w:r>
        <w:rPr>
          <w:rFonts w:hint="eastAsia" w:ascii="宋体" w:hAnsi="宋体" w:eastAsia="宋体"/>
          <w:color w:val="auto"/>
          <w:sz w:val="21"/>
          <w:szCs w:val="21"/>
          <w:highlight w:val="none"/>
          <w:lang w:val="en-US" w:eastAsia="zh-CN"/>
        </w:rPr>
        <w:t>：人民币200元整；领购咨询</w:t>
      </w:r>
      <w:r>
        <w:rPr>
          <w:rFonts w:hint="eastAsia" w:ascii="宋体" w:hAnsi="宋体" w:eastAsia="宋体"/>
          <w:color w:val="auto"/>
          <w:sz w:val="21"/>
          <w:szCs w:val="21"/>
          <w:highlight w:val="none"/>
        </w:rPr>
        <w:t>人：</w:t>
      </w:r>
      <w:r>
        <w:rPr>
          <w:rFonts w:hint="eastAsia" w:ascii="宋体" w:hAnsi="宋体" w:eastAsia="宋体"/>
          <w:color w:val="auto"/>
          <w:sz w:val="21"/>
          <w:szCs w:val="21"/>
          <w:highlight w:val="none"/>
          <w:lang w:eastAsia="zh-CN"/>
        </w:rPr>
        <w:t>黄雯静；领购咨询</w:t>
      </w:r>
      <w:r>
        <w:rPr>
          <w:rFonts w:hint="eastAsia" w:ascii="宋体" w:hAnsi="宋体" w:eastAsia="宋体"/>
          <w:color w:val="auto"/>
          <w:sz w:val="21"/>
          <w:szCs w:val="21"/>
          <w:highlight w:val="none"/>
        </w:rPr>
        <w:t>电话：0769-21682660</w:t>
      </w:r>
    </w:p>
    <w:p>
      <w:pPr>
        <w:keepNext w:val="0"/>
        <w:keepLines w:val="0"/>
        <w:pageBreakBefore w:val="0"/>
        <w:widowControl/>
        <w:kinsoku/>
        <w:wordWrap/>
        <w:overflowPunct/>
        <w:topLinePunct w:val="0"/>
        <w:autoSpaceDE/>
        <w:autoSpaceDN/>
        <w:bidi w:val="0"/>
        <w:adjustRightInd/>
        <w:snapToGrid/>
        <w:spacing w:after="0" w:line="400" w:lineRule="exact"/>
        <w:textAlignment w:val="auto"/>
        <w:rPr>
          <w:rFonts w:hint="eastAsia" w:ascii="宋体" w:hAnsi="宋体" w:eastAsia="宋体"/>
          <w:b/>
          <w:color w:val="auto"/>
          <w:sz w:val="21"/>
          <w:szCs w:val="21"/>
          <w:highlight w:val="none"/>
        </w:rPr>
      </w:pPr>
    </w:p>
    <w:p>
      <w:pPr>
        <w:keepNext w:val="0"/>
        <w:keepLines w:val="0"/>
        <w:pageBreakBefore w:val="0"/>
        <w:widowControl/>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四、投标截止时间、开标时间及地点</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bCs/>
          <w:color w:val="auto"/>
          <w:sz w:val="21"/>
          <w:szCs w:val="21"/>
          <w:highlight w:val="none"/>
        </w:rPr>
      </w:pPr>
      <w:r>
        <w:rPr>
          <w:rFonts w:hint="eastAsia" w:ascii="宋体" w:hAnsi="宋体" w:eastAsia="宋体"/>
          <w:bCs/>
          <w:color w:val="auto"/>
          <w:sz w:val="21"/>
          <w:szCs w:val="21"/>
          <w:highlight w:val="none"/>
        </w:rPr>
        <w:t>1、递交投标文件时间：</w:t>
      </w:r>
      <w:r>
        <w:rPr>
          <w:rFonts w:hint="eastAsia" w:ascii="宋体" w:hAnsi="宋体" w:eastAsia="宋体"/>
          <w:bCs/>
          <w:color w:val="auto"/>
          <w:sz w:val="21"/>
          <w:szCs w:val="21"/>
          <w:highlight w:val="none"/>
          <w:lang w:eastAsia="zh-CN"/>
        </w:rPr>
        <w:t>2022年</w:t>
      </w:r>
      <w:r>
        <w:rPr>
          <w:rFonts w:hint="eastAsia" w:ascii="宋体" w:hAnsi="宋体" w:eastAsia="宋体"/>
          <w:bCs/>
          <w:color w:val="auto"/>
          <w:sz w:val="21"/>
          <w:szCs w:val="21"/>
          <w:highlight w:val="none"/>
          <w:lang w:val="en-US" w:eastAsia="zh-CN"/>
        </w:rPr>
        <w:t>6</w:t>
      </w:r>
      <w:r>
        <w:rPr>
          <w:rFonts w:hint="eastAsia" w:ascii="宋体" w:hAnsi="宋体" w:eastAsia="宋体"/>
          <w:bCs/>
          <w:color w:val="auto"/>
          <w:sz w:val="21"/>
          <w:szCs w:val="21"/>
          <w:highlight w:val="none"/>
        </w:rPr>
        <w:t>月</w:t>
      </w:r>
      <w:r>
        <w:rPr>
          <w:rFonts w:hint="eastAsia" w:ascii="宋体" w:hAnsi="宋体" w:eastAsia="宋体"/>
          <w:bCs/>
          <w:color w:val="auto"/>
          <w:sz w:val="21"/>
          <w:szCs w:val="21"/>
          <w:highlight w:val="none"/>
          <w:lang w:val="en-US" w:eastAsia="zh-CN"/>
        </w:rPr>
        <w:t>22</w:t>
      </w:r>
      <w:r>
        <w:rPr>
          <w:rFonts w:hint="eastAsia" w:ascii="宋体" w:hAnsi="宋体" w:eastAsia="宋体"/>
          <w:bCs/>
          <w:color w:val="auto"/>
          <w:sz w:val="21"/>
          <w:szCs w:val="21"/>
          <w:highlight w:val="none"/>
        </w:rPr>
        <w:t>日上午9：00～9：30。</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bCs/>
          <w:color w:val="auto"/>
          <w:sz w:val="21"/>
          <w:szCs w:val="21"/>
          <w:highlight w:val="none"/>
        </w:rPr>
      </w:pPr>
      <w:r>
        <w:rPr>
          <w:rFonts w:hint="eastAsia" w:ascii="宋体" w:hAnsi="宋体" w:eastAsia="宋体"/>
          <w:bCs/>
          <w:color w:val="auto"/>
          <w:sz w:val="21"/>
          <w:szCs w:val="21"/>
          <w:highlight w:val="none"/>
        </w:rPr>
        <w:t>2、</w:t>
      </w:r>
      <w:r>
        <w:rPr>
          <w:rFonts w:ascii="宋体" w:hAnsi="宋体" w:eastAsia="宋体"/>
          <w:bCs/>
          <w:color w:val="auto"/>
          <w:sz w:val="21"/>
          <w:szCs w:val="21"/>
          <w:highlight w:val="none"/>
        </w:rPr>
        <w:t>投标截止</w:t>
      </w:r>
      <w:r>
        <w:rPr>
          <w:rFonts w:hint="eastAsia" w:ascii="宋体" w:hAnsi="宋体" w:eastAsia="宋体"/>
          <w:bCs/>
          <w:color w:val="auto"/>
          <w:sz w:val="21"/>
          <w:szCs w:val="21"/>
          <w:highlight w:val="none"/>
        </w:rPr>
        <w:t>及开标时间：</w:t>
      </w:r>
      <w:r>
        <w:rPr>
          <w:rFonts w:hint="eastAsia" w:ascii="宋体" w:hAnsi="宋体" w:eastAsia="宋体"/>
          <w:bCs/>
          <w:color w:val="auto"/>
          <w:sz w:val="21"/>
          <w:szCs w:val="21"/>
          <w:highlight w:val="none"/>
          <w:lang w:eastAsia="zh-CN"/>
        </w:rPr>
        <w:t>2022年</w:t>
      </w:r>
      <w:r>
        <w:rPr>
          <w:rFonts w:hint="eastAsia" w:ascii="宋体" w:hAnsi="宋体" w:eastAsia="宋体"/>
          <w:bCs/>
          <w:color w:val="auto"/>
          <w:sz w:val="21"/>
          <w:szCs w:val="21"/>
          <w:highlight w:val="none"/>
          <w:lang w:val="en-US" w:eastAsia="zh-CN"/>
        </w:rPr>
        <w:t>6</w:t>
      </w:r>
      <w:r>
        <w:rPr>
          <w:rFonts w:hint="eastAsia" w:ascii="宋体" w:hAnsi="宋体" w:eastAsia="宋体"/>
          <w:bCs/>
          <w:color w:val="auto"/>
          <w:sz w:val="21"/>
          <w:szCs w:val="21"/>
          <w:highlight w:val="none"/>
        </w:rPr>
        <w:t>月</w:t>
      </w:r>
      <w:r>
        <w:rPr>
          <w:rFonts w:hint="eastAsia" w:ascii="宋体" w:hAnsi="宋体" w:eastAsia="宋体"/>
          <w:bCs/>
          <w:color w:val="auto"/>
          <w:sz w:val="21"/>
          <w:szCs w:val="21"/>
          <w:highlight w:val="none"/>
          <w:lang w:val="en-US" w:eastAsia="zh-CN"/>
        </w:rPr>
        <w:t>22</w:t>
      </w:r>
      <w:r>
        <w:rPr>
          <w:rFonts w:hint="eastAsia" w:ascii="宋体" w:hAnsi="宋体" w:eastAsia="宋体"/>
          <w:bCs/>
          <w:color w:val="auto"/>
          <w:sz w:val="21"/>
          <w:szCs w:val="21"/>
          <w:highlight w:val="none"/>
        </w:rPr>
        <w:t>日上午9时30分。</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bCs/>
          <w:color w:val="auto"/>
          <w:sz w:val="21"/>
          <w:szCs w:val="21"/>
          <w:highlight w:val="none"/>
        </w:rPr>
      </w:pPr>
      <w:r>
        <w:rPr>
          <w:rFonts w:hint="eastAsia" w:ascii="宋体" w:hAnsi="宋体" w:eastAsia="宋体"/>
          <w:bCs/>
          <w:color w:val="auto"/>
          <w:sz w:val="21"/>
          <w:szCs w:val="21"/>
          <w:highlight w:val="none"/>
        </w:rPr>
        <w:t>3、</w:t>
      </w:r>
      <w:r>
        <w:rPr>
          <w:rFonts w:ascii="宋体" w:hAnsi="宋体" w:eastAsia="宋体"/>
          <w:bCs/>
          <w:color w:val="auto"/>
          <w:sz w:val="21"/>
          <w:szCs w:val="21"/>
          <w:highlight w:val="none"/>
        </w:rPr>
        <w:t>开标地点：</w:t>
      </w:r>
      <w:r>
        <w:rPr>
          <w:rFonts w:hint="eastAsia" w:ascii="宋体" w:hAnsi="宋体" w:eastAsia="宋体"/>
          <w:color w:val="auto"/>
          <w:sz w:val="21"/>
          <w:szCs w:val="21"/>
          <w:highlight w:val="none"/>
        </w:rPr>
        <w:t>东莞市南城街道鸿福西路81号国际商会大厦601室</w:t>
      </w:r>
      <w:r>
        <w:rPr>
          <w:rFonts w:hint="eastAsia" w:ascii="宋体" w:hAnsi="宋体" w:eastAsia="宋体"/>
          <w:bCs/>
          <w:color w:val="auto"/>
          <w:sz w:val="21"/>
          <w:szCs w:val="21"/>
          <w:highlight w:val="none"/>
        </w:rPr>
        <w:t>。</w:t>
      </w:r>
    </w:p>
    <w:p>
      <w:pPr>
        <w:keepNext w:val="0"/>
        <w:keepLines w:val="0"/>
        <w:pageBreakBefore w:val="0"/>
        <w:widowControl/>
        <w:kinsoku/>
        <w:wordWrap/>
        <w:overflowPunct/>
        <w:topLinePunct w:val="0"/>
        <w:autoSpaceDE/>
        <w:autoSpaceDN/>
        <w:bidi w:val="0"/>
        <w:adjustRightInd/>
        <w:snapToGrid/>
        <w:spacing w:after="0" w:line="400" w:lineRule="exact"/>
        <w:textAlignment w:val="auto"/>
        <w:rPr>
          <w:rFonts w:hint="eastAsia" w:ascii="宋体" w:hAnsi="宋体" w:eastAsia="宋体"/>
          <w:b/>
          <w:color w:val="auto"/>
          <w:sz w:val="21"/>
          <w:szCs w:val="21"/>
          <w:highlight w:val="none"/>
        </w:rPr>
      </w:pPr>
    </w:p>
    <w:p>
      <w:pPr>
        <w:keepNext w:val="0"/>
        <w:keepLines w:val="0"/>
        <w:pageBreakBefore w:val="0"/>
        <w:widowControl/>
        <w:kinsoku/>
        <w:wordWrap/>
        <w:overflowPunct/>
        <w:topLinePunct w:val="0"/>
        <w:autoSpaceDE/>
        <w:autoSpaceDN/>
        <w:bidi w:val="0"/>
        <w:adjustRightInd/>
        <w:snapToGrid/>
        <w:spacing w:after="0" w:line="400" w:lineRule="exact"/>
        <w:textAlignment w:val="auto"/>
        <w:rPr>
          <w:rFonts w:ascii="宋体" w:hAnsi="宋体" w:eastAsia="宋体"/>
          <w:bCs/>
          <w:color w:val="auto"/>
          <w:sz w:val="21"/>
          <w:szCs w:val="21"/>
          <w:highlight w:val="none"/>
        </w:rPr>
      </w:pPr>
      <w:r>
        <w:rPr>
          <w:rFonts w:hint="eastAsia" w:ascii="宋体" w:hAnsi="宋体" w:eastAsia="宋体"/>
          <w:b/>
          <w:color w:val="auto"/>
          <w:sz w:val="21"/>
          <w:szCs w:val="21"/>
          <w:highlight w:val="none"/>
        </w:rPr>
        <w:t>五、采购人及采购代理机构的名称、地址和联系方法：</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bCs/>
          <w:color w:val="auto"/>
          <w:sz w:val="21"/>
          <w:szCs w:val="21"/>
          <w:highlight w:val="none"/>
          <w:lang w:val="en-US" w:eastAsia="zh-CN"/>
        </w:rPr>
      </w:pPr>
      <w:r>
        <w:rPr>
          <w:rFonts w:hint="eastAsia" w:ascii="宋体" w:hAnsi="宋体" w:eastAsia="宋体"/>
          <w:bCs/>
          <w:color w:val="auto"/>
          <w:sz w:val="21"/>
          <w:szCs w:val="21"/>
          <w:highlight w:val="none"/>
        </w:rPr>
        <w:t>采购人联系人：</w:t>
      </w:r>
      <w:r>
        <w:rPr>
          <w:rFonts w:hint="eastAsia" w:ascii="宋体" w:hAnsi="宋体" w:eastAsia="宋体"/>
          <w:bCs/>
          <w:color w:val="auto"/>
          <w:sz w:val="21"/>
          <w:szCs w:val="21"/>
          <w:highlight w:val="none"/>
          <w:lang w:eastAsia="zh-CN"/>
        </w:rPr>
        <w:t>吴家裕</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bCs/>
          <w:color w:val="auto"/>
          <w:sz w:val="21"/>
          <w:szCs w:val="21"/>
          <w:highlight w:val="none"/>
          <w:lang w:eastAsia="zh-CN"/>
        </w:rPr>
      </w:pPr>
      <w:r>
        <w:rPr>
          <w:rFonts w:hint="eastAsia" w:ascii="宋体" w:hAnsi="宋体" w:eastAsia="宋体"/>
          <w:bCs/>
          <w:color w:val="auto"/>
          <w:sz w:val="21"/>
          <w:szCs w:val="21"/>
          <w:highlight w:val="none"/>
        </w:rPr>
        <w:t>地址：</w:t>
      </w:r>
      <w:r>
        <w:rPr>
          <w:rFonts w:hint="eastAsia" w:ascii="宋体" w:hAnsi="宋体" w:eastAsia="宋体"/>
          <w:bCs/>
          <w:color w:val="auto"/>
          <w:sz w:val="21"/>
          <w:szCs w:val="21"/>
          <w:highlight w:val="none"/>
          <w:lang w:eastAsia="zh-CN"/>
        </w:rPr>
        <w:t>东莞市横沥镇</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default" w:ascii="宋体" w:hAnsi="宋体" w:eastAsia="宋体"/>
          <w:bCs/>
          <w:color w:val="auto"/>
          <w:sz w:val="21"/>
          <w:szCs w:val="21"/>
          <w:highlight w:val="none"/>
          <w:lang w:val="en-US" w:eastAsia="zh-CN"/>
        </w:rPr>
      </w:pPr>
      <w:r>
        <w:rPr>
          <w:rFonts w:hint="eastAsia" w:ascii="宋体" w:hAnsi="宋体" w:eastAsia="宋体"/>
          <w:bCs/>
          <w:color w:val="auto"/>
          <w:sz w:val="21"/>
          <w:szCs w:val="21"/>
          <w:highlight w:val="none"/>
        </w:rPr>
        <w:t>联系电话：</w:t>
      </w:r>
      <w:r>
        <w:rPr>
          <w:rFonts w:hint="eastAsia" w:ascii="宋体" w:hAnsi="宋体" w:eastAsia="宋体"/>
          <w:bCs/>
          <w:color w:val="auto"/>
          <w:sz w:val="21"/>
          <w:szCs w:val="21"/>
          <w:highlight w:val="none"/>
          <w:lang w:val="en-US" w:eastAsia="zh-CN"/>
        </w:rPr>
        <w:t>0769-83373153</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采购代理机构名称：三方诚信招标有限公司东莞分公司</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地址：东莞市南城街道鸿福西路81号国际商会大厦706室。</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rPr>
        <w:t>采购代理机构联系人：</w:t>
      </w:r>
      <w:r>
        <w:rPr>
          <w:rFonts w:hint="eastAsia" w:ascii="宋体" w:hAnsi="宋体" w:eastAsia="宋体"/>
          <w:color w:val="auto"/>
          <w:sz w:val="21"/>
          <w:szCs w:val="21"/>
          <w:highlight w:val="none"/>
          <w:lang w:eastAsia="zh-CN"/>
        </w:rPr>
        <w:t>王佳涛</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rPr>
        <w:t>联系电话：0769-21682660</w:t>
      </w:r>
      <w:r>
        <w:rPr>
          <w:rFonts w:hint="eastAsia" w:ascii="宋体" w:hAnsi="宋体" w:eastAsia="宋体"/>
          <w:color w:val="auto"/>
          <w:sz w:val="21"/>
          <w:szCs w:val="21"/>
          <w:highlight w:val="none"/>
          <w:lang w:val="en-US" w:eastAsia="zh-CN"/>
        </w:rPr>
        <w:t>-812</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olor w:val="auto"/>
          <w:sz w:val="21"/>
          <w:szCs w:val="21"/>
          <w:highlight w:val="none"/>
        </w:rPr>
        <w:t xml:space="preserve">E－ </w:t>
      </w:r>
      <w:r>
        <w:rPr>
          <w:rFonts w:hint="eastAsia" w:ascii="宋体" w:hAnsi="宋体" w:eastAsia="宋体"/>
          <w:color w:val="auto"/>
          <w:sz w:val="21"/>
          <w:szCs w:val="21"/>
          <w:highlight w:val="none"/>
          <w:lang w:val="en-US" w:eastAsia="zh-CN"/>
        </w:rPr>
        <w:t>mail：735880509@qq.com</w:t>
      </w:r>
    </w:p>
    <w:p>
      <w:pPr>
        <w:keepNext w:val="0"/>
        <w:keepLines w:val="0"/>
        <w:pageBreakBefore w:val="0"/>
        <w:widowControl/>
        <w:kinsoku/>
        <w:wordWrap/>
        <w:overflowPunct/>
        <w:topLinePunct w:val="0"/>
        <w:autoSpaceDE/>
        <w:autoSpaceDN/>
        <w:bidi w:val="0"/>
        <w:adjustRightInd/>
        <w:snapToGrid/>
        <w:spacing w:line="400" w:lineRule="exact"/>
        <w:ind w:right="788" w:rightChars="358"/>
        <w:jc w:val="right"/>
        <w:textAlignment w:val="auto"/>
        <w:rPr>
          <w:rFonts w:hint="eastAsia" w:ascii="宋体" w:hAnsi="宋体" w:eastAsia="宋体" w:cs="宋体"/>
          <w:color w:val="auto"/>
          <w:sz w:val="21"/>
          <w:szCs w:val="21"/>
          <w:highlight w:val="none"/>
        </w:rPr>
      </w:pPr>
    </w:p>
    <w:p>
      <w:pPr>
        <w:keepNext w:val="0"/>
        <w:keepLines w:val="0"/>
        <w:pageBreakBefore w:val="0"/>
        <w:widowControl/>
        <w:kinsoku/>
        <w:wordWrap/>
        <w:overflowPunct/>
        <w:topLinePunct w:val="0"/>
        <w:autoSpaceDE/>
        <w:autoSpaceDN/>
        <w:bidi w:val="0"/>
        <w:adjustRightInd/>
        <w:snapToGrid/>
        <w:spacing w:line="400" w:lineRule="exact"/>
        <w:ind w:right="788" w:rightChars="358"/>
        <w:jc w:val="right"/>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三方诚信招标有限公司东莞分公司</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2022年6</w:t>
      </w:r>
      <w:r>
        <w:rPr>
          <w:rFonts w:hint="eastAsia" w:ascii="宋体" w:hAnsi="宋体" w:eastAsia="宋体" w:cs="宋体"/>
          <w:color w:val="auto"/>
          <w:sz w:val="21"/>
          <w:szCs w:val="21"/>
          <w:highlight w:val="none"/>
        </w:rPr>
        <w:t>月</w:t>
      </w:r>
    </w:p>
    <w:p>
      <w:pPr>
        <w:pageBreakBefore w:val="0"/>
        <w:kinsoku/>
        <w:topLinePunct w:val="0"/>
        <w:autoSpaceDE/>
        <w:autoSpaceDN/>
        <w:bidi w:val="0"/>
        <w:spacing w:line="360" w:lineRule="auto"/>
        <w:ind w:left="6481" w:leftChars="2755" w:hanging="420" w:hangingChars="200"/>
        <w:rPr>
          <w:rFonts w:ascii="黑体" w:hAnsi="宋体" w:eastAsia="黑体"/>
          <w:color w:val="auto"/>
          <w:highlight w:val="none"/>
        </w:rPr>
      </w:pPr>
      <w:r>
        <w:rPr>
          <w:rFonts w:hint="eastAsia" w:ascii="宋体" w:hAnsi="宋体" w:eastAsia="宋体" w:cs="宋体"/>
          <w:color w:val="auto"/>
          <w:sz w:val="21"/>
          <w:szCs w:val="21"/>
          <w:highlight w:val="none"/>
        </w:rPr>
        <w:br w:type="page"/>
      </w:r>
    </w:p>
    <w:p>
      <w:pPr>
        <w:pStyle w:val="3"/>
        <w:pageBreakBefore w:val="0"/>
        <w:kinsoku/>
        <w:topLinePunct w:val="0"/>
        <w:autoSpaceDE/>
        <w:autoSpaceDN/>
        <w:bidi w:val="0"/>
        <w:spacing w:before="0" w:after="0" w:line="360" w:lineRule="auto"/>
        <w:rPr>
          <w:color w:val="auto"/>
          <w:sz w:val="28"/>
          <w:szCs w:val="28"/>
          <w:highlight w:val="none"/>
        </w:rPr>
      </w:pPr>
      <w:bookmarkStart w:id="2" w:name="_Toc857"/>
      <w:r>
        <w:rPr>
          <w:rFonts w:hint="eastAsia"/>
          <w:color w:val="auto"/>
          <w:sz w:val="28"/>
          <w:szCs w:val="28"/>
          <w:highlight w:val="none"/>
        </w:rPr>
        <w:t>第二部分 相关资料表格</w:t>
      </w:r>
      <w:bookmarkEnd w:id="2"/>
    </w:p>
    <w:p>
      <w:pPr>
        <w:pStyle w:val="4"/>
        <w:pageBreakBefore w:val="0"/>
        <w:kinsoku/>
        <w:wordWrap/>
        <w:overflowPunct/>
        <w:topLinePunct w:val="0"/>
        <w:autoSpaceDE/>
        <w:autoSpaceDN/>
        <w:bidi w:val="0"/>
        <w:spacing w:before="0" w:after="0" w:line="360" w:lineRule="auto"/>
        <w:jc w:val="center"/>
        <w:textAlignment w:val="auto"/>
        <w:rPr>
          <w:rFonts w:ascii="宋体" w:hAnsi="宋体" w:eastAsia="宋体" w:cs="宋体"/>
          <w:color w:val="auto"/>
          <w:sz w:val="24"/>
          <w:szCs w:val="24"/>
          <w:highlight w:val="none"/>
        </w:rPr>
      </w:pPr>
      <w:bookmarkStart w:id="3" w:name="_Toc17481"/>
      <w:r>
        <w:rPr>
          <w:rFonts w:hint="eastAsia" w:ascii="宋体" w:hAnsi="宋体" w:eastAsia="宋体" w:cs="宋体"/>
          <w:color w:val="auto"/>
          <w:sz w:val="24"/>
          <w:szCs w:val="24"/>
          <w:highlight w:val="none"/>
        </w:rPr>
        <w:t>附表一：投标资料表</w:t>
      </w:r>
      <w:bookmarkEnd w:id="3"/>
    </w:p>
    <w:tbl>
      <w:tblPr>
        <w:tblStyle w:val="17"/>
        <w:tblW w:w="8410" w:type="dxa"/>
        <w:tblInd w:w="-24" w:type="dxa"/>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28" w:type="dxa"/>
          <w:bottom w:w="0" w:type="dxa"/>
          <w:right w:w="28" w:type="dxa"/>
        </w:tblCellMar>
      </w:tblPr>
      <w:tblGrid>
        <w:gridCol w:w="878"/>
        <w:gridCol w:w="2608"/>
        <w:gridCol w:w="1154"/>
        <w:gridCol w:w="4"/>
        <w:gridCol w:w="3766"/>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78" w:type="dxa"/>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序号</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内</w:t>
            </w:r>
            <w:r>
              <w:rPr>
                <w:rFonts w:ascii="宋体" w:hAnsi="宋体" w:eastAsia="宋体"/>
                <w:b/>
                <w:color w:val="auto"/>
                <w:sz w:val="21"/>
                <w:szCs w:val="21"/>
                <w:highlight w:val="none"/>
              </w:rPr>
              <w:t xml:space="preserve">      </w:t>
            </w:r>
            <w:r>
              <w:rPr>
                <w:rFonts w:hint="eastAsia" w:ascii="宋体" w:hAnsi="宋体" w:eastAsia="宋体"/>
                <w:b/>
                <w:color w:val="auto"/>
                <w:sz w:val="21"/>
                <w:szCs w:val="21"/>
                <w:highlight w:val="none"/>
              </w:rPr>
              <w:t>容</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cantSplit/>
          <w:trHeight w:val="551" w:hRule="atLeast"/>
        </w:trPr>
        <w:tc>
          <w:tcPr>
            <w:tcW w:w="8410" w:type="dxa"/>
            <w:gridSpan w:val="5"/>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一、说明</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1</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项目最高限价（单位：元）</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rFonts w:ascii="宋体" w:hAnsi="宋体" w:eastAsia="宋体"/>
                <w:b/>
                <w:bCs/>
                <w:color w:val="auto"/>
                <w:sz w:val="21"/>
                <w:szCs w:val="21"/>
                <w:highlight w:val="none"/>
              </w:rPr>
            </w:pPr>
            <w:r>
              <w:rPr>
                <w:rFonts w:hint="eastAsia" w:ascii="宋体" w:hAnsi="宋体" w:eastAsia="宋体"/>
                <w:bCs/>
                <w:color w:val="auto"/>
                <w:sz w:val="21"/>
                <w:szCs w:val="21"/>
                <w:highlight w:val="none"/>
              </w:rPr>
              <w:t>与项目预算一致。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85"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2</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rFonts w:hint="eastAsia" w:ascii="宋体" w:hAnsi="宋体" w:eastAsia="宋体"/>
                <w:b/>
                <w:bCs/>
                <w:color w:val="auto"/>
                <w:sz w:val="21"/>
                <w:szCs w:val="21"/>
                <w:highlight w:val="none"/>
                <w:lang w:eastAsia="zh-CN"/>
              </w:rPr>
            </w:pPr>
            <w:r>
              <w:rPr>
                <w:rFonts w:hint="eastAsia" w:ascii="宋体" w:hAnsi="宋体" w:eastAsia="宋体"/>
                <w:b/>
                <w:bCs/>
                <w:color w:val="auto"/>
                <w:sz w:val="21"/>
                <w:szCs w:val="21"/>
                <w:highlight w:val="none"/>
                <w:lang w:eastAsia="zh-CN"/>
              </w:rPr>
              <w:t>项目类型</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lang w:eastAsia="zh-CN"/>
              </w:rPr>
              <w:t>货物</w:t>
            </w:r>
            <w:r>
              <w:rPr>
                <w:rFonts w:hint="eastAsia" w:ascii="宋体" w:hAnsi="宋体" w:eastAsia="宋体"/>
                <w:bCs/>
                <w:color w:val="auto"/>
                <w:sz w:val="21"/>
                <w:szCs w:val="21"/>
                <w:highlight w:val="none"/>
              </w:rPr>
              <w:sym w:font="Wingdings" w:char="00A8"/>
            </w:r>
            <w:r>
              <w:rPr>
                <w:rFonts w:hint="eastAsia" w:ascii="宋体" w:hAnsi="宋体" w:eastAsia="宋体"/>
                <w:bCs/>
                <w:color w:val="auto"/>
                <w:sz w:val="21"/>
                <w:szCs w:val="21"/>
                <w:highlight w:val="none"/>
                <w:lang w:val="en-US" w:eastAsia="zh-CN"/>
              </w:rPr>
              <w:t xml:space="preserve">   工程</w:t>
            </w:r>
            <w:r>
              <w:rPr>
                <w:rFonts w:hint="eastAsia" w:ascii="宋体" w:hAnsi="宋体" w:eastAsia="宋体"/>
                <w:bCs/>
                <w:color w:val="auto"/>
                <w:sz w:val="21"/>
                <w:szCs w:val="21"/>
                <w:highlight w:val="none"/>
                <w:lang w:val="en-US" w:eastAsia="zh-CN"/>
              </w:rPr>
              <w:sym w:font="Wingdings" w:char="00A8"/>
            </w:r>
            <w:r>
              <w:rPr>
                <w:rFonts w:hint="eastAsia" w:ascii="宋体" w:hAnsi="宋体" w:eastAsia="宋体"/>
                <w:bCs/>
                <w:color w:val="auto"/>
                <w:sz w:val="21"/>
                <w:szCs w:val="21"/>
                <w:highlight w:val="none"/>
                <w:lang w:val="en-US" w:eastAsia="zh-CN"/>
              </w:rPr>
              <w:t xml:space="preserve">   服务</w:t>
            </w:r>
            <w:r>
              <w:rPr>
                <w:rFonts w:hint="eastAsia" w:ascii="宋体" w:hAnsi="宋体" w:eastAsia="宋体"/>
                <w:bCs/>
                <w:color w:val="auto"/>
                <w:sz w:val="21"/>
                <w:szCs w:val="21"/>
                <w:highlight w:val="none"/>
                <w:lang w:val="en-US" w:eastAsia="zh-CN"/>
              </w:rPr>
              <w:sym w:font="Wingdings" w:char="00FE"/>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rFonts w:hint="eastAsia" w:ascii="宋体" w:hAnsi="宋体" w:eastAsia="宋体"/>
                <w:bCs/>
                <w:color w:val="auto"/>
                <w:sz w:val="21"/>
                <w:szCs w:val="21"/>
                <w:highlight w:val="none"/>
                <w:lang w:val="en-US" w:eastAsia="zh-CN"/>
              </w:rPr>
            </w:pPr>
            <w:r>
              <w:rPr>
                <w:rFonts w:hint="eastAsia" w:ascii="宋体" w:hAnsi="宋体" w:eastAsia="宋体"/>
                <w:bCs/>
                <w:color w:val="auto"/>
                <w:sz w:val="21"/>
                <w:szCs w:val="21"/>
                <w:highlight w:val="none"/>
                <w:lang w:val="en-US" w:eastAsia="zh-CN"/>
              </w:rPr>
              <w:t>所属行业：其他未列明行业</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val="en-US" w:eastAsia="zh-CN"/>
              </w:rPr>
              <w:t>3</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资金来源</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rFonts w:ascii="宋体" w:hAnsi="宋体" w:eastAsia="宋体"/>
                <w:b/>
                <w:bCs/>
                <w:color w:val="auto"/>
                <w:sz w:val="21"/>
                <w:szCs w:val="21"/>
                <w:highlight w:val="none"/>
              </w:rPr>
            </w:pPr>
            <w:r>
              <w:rPr>
                <w:rFonts w:hint="eastAsia" w:ascii="宋体" w:hAnsi="宋体" w:eastAsia="宋体"/>
                <w:color w:val="auto"/>
                <w:sz w:val="21"/>
                <w:szCs w:val="21"/>
                <w:highlight w:val="none"/>
                <w:lang w:eastAsia="zh-CN"/>
              </w:rPr>
              <w:t>自筹</w:t>
            </w:r>
            <w:r>
              <w:rPr>
                <w:rFonts w:hint="eastAsia" w:ascii="宋体" w:hAnsi="宋体" w:eastAsia="宋体"/>
                <w:color w:val="auto"/>
                <w:sz w:val="21"/>
                <w:szCs w:val="21"/>
                <w:highlight w:val="none"/>
              </w:rPr>
              <w:t>资金。</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4</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rFonts w:hint="eastAsia" w:ascii="宋体" w:hAnsi="宋体" w:eastAsia="宋体"/>
                <w:color w:val="auto"/>
                <w:sz w:val="21"/>
                <w:szCs w:val="21"/>
                <w:highlight w:val="none"/>
              </w:rPr>
            </w:pPr>
            <w:r>
              <w:rPr>
                <w:rFonts w:hint="eastAsia" w:ascii="宋体" w:hAnsi="宋体" w:eastAsia="宋体"/>
                <w:b/>
                <w:color w:val="auto"/>
                <w:sz w:val="21"/>
                <w:szCs w:val="21"/>
                <w:highlight w:val="none"/>
                <w:lang w:eastAsia="zh-CN"/>
              </w:rPr>
              <w:t>是否为专门面向中小企业</w:t>
            </w:r>
            <w:r>
              <w:rPr>
                <w:rFonts w:hint="eastAsia" w:ascii="宋体" w:hAnsi="宋体" w:eastAsia="宋体"/>
                <w:b/>
                <w:bCs w:val="0"/>
                <w:color w:val="auto"/>
                <w:sz w:val="21"/>
                <w:szCs w:val="21"/>
                <w:highlight w:val="none"/>
                <w:lang w:eastAsia="zh-CN"/>
              </w:rPr>
              <w:t>采购的采购项目</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rFonts w:hint="eastAsia" w:ascii="宋体" w:hAnsi="宋体" w:eastAsia="宋体"/>
                <w:color w:val="auto"/>
                <w:sz w:val="21"/>
                <w:szCs w:val="21"/>
                <w:highlight w:val="none"/>
              </w:rPr>
            </w:pPr>
            <w:r>
              <w:rPr>
                <w:rFonts w:hint="eastAsia" w:ascii="宋体" w:hAnsi="宋体" w:eastAsia="宋体"/>
                <w:bCs/>
                <w:color w:val="auto"/>
                <w:sz w:val="21"/>
                <w:szCs w:val="21"/>
                <w:highlight w:val="none"/>
                <w:lang w:eastAsia="zh-CN"/>
              </w:rPr>
              <w:t>是</w:t>
            </w:r>
            <w:r>
              <w:rPr>
                <w:rFonts w:hint="eastAsia" w:ascii="宋体" w:hAnsi="宋体" w:eastAsia="宋体"/>
                <w:bCs/>
                <w:color w:val="auto"/>
                <w:sz w:val="21"/>
                <w:szCs w:val="21"/>
                <w:highlight w:val="none"/>
              </w:rPr>
              <w:sym w:font="Wingdings" w:char="00A8"/>
            </w:r>
            <w:r>
              <w:rPr>
                <w:rFonts w:hint="eastAsia" w:ascii="宋体" w:hAnsi="宋体" w:eastAsia="宋体"/>
                <w:bCs/>
                <w:color w:val="auto"/>
                <w:sz w:val="21"/>
                <w:szCs w:val="21"/>
                <w:highlight w:val="none"/>
                <w:lang w:val="en-US" w:eastAsia="zh-CN"/>
              </w:rPr>
              <w:t xml:space="preserve">    否</w:t>
            </w:r>
            <w:r>
              <w:rPr>
                <w:rFonts w:hint="eastAsia" w:ascii="宋体" w:hAnsi="宋体" w:eastAsia="宋体"/>
                <w:bCs/>
                <w:color w:val="auto"/>
                <w:sz w:val="21"/>
                <w:szCs w:val="21"/>
                <w:highlight w:val="none"/>
                <w:lang w:val="en-US" w:eastAsia="zh-CN"/>
              </w:rPr>
              <w:sym w:font="Wingdings" w:char="00FE"/>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09"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5</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rFonts w:hint="eastAsia" w:ascii="宋体" w:hAnsi="宋体" w:eastAsia="宋体"/>
                <w:b/>
                <w:bCs w:val="0"/>
                <w:color w:val="auto"/>
                <w:sz w:val="21"/>
                <w:szCs w:val="21"/>
                <w:highlight w:val="none"/>
                <w:lang w:eastAsia="zh-CN"/>
              </w:rPr>
            </w:pPr>
            <w:r>
              <w:rPr>
                <w:rFonts w:hint="eastAsia" w:ascii="宋体" w:hAnsi="宋体" w:eastAsia="宋体"/>
                <w:b/>
                <w:color w:val="auto"/>
                <w:sz w:val="21"/>
                <w:szCs w:val="21"/>
                <w:highlight w:val="none"/>
                <w:lang w:eastAsia="zh-CN"/>
              </w:rPr>
              <w:t>是否为预留份额专门面向中小企业</w:t>
            </w:r>
            <w:r>
              <w:rPr>
                <w:rFonts w:hint="eastAsia" w:ascii="宋体" w:hAnsi="宋体" w:eastAsia="宋体"/>
                <w:b/>
                <w:bCs w:val="0"/>
                <w:color w:val="auto"/>
                <w:sz w:val="21"/>
                <w:szCs w:val="21"/>
                <w:highlight w:val="none"/>
                <w:lang w:eastAsia="zh-CN"/>
              </w:rPr>
              <w:t>采购</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367"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color w:val="auto"/>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rFonts w:hint="eastAsia" w:ascii="宋体" w:hAnsi="宋体" w:eastAsia="宋体"/>
                <w:b/>
                <w:bCs w:val="0"/>
                <w:color w:val="auto"/>
                <w:sz w:val="21"/>
                <w:szCs w:val="21"/>
                <w:highlight w:val="none"/>
                <w:lang w:eastAsia="zh-CN"/>
              </w:rPr>
            </w:pPr>
            <w:r>
              <w:rPr>
                <w:rFonts w:hint="eastAsia" w:ascii="宋体" w:hAnsi="宋体" w:eastAsia="宋体"/>
                <w:bCs/>
                <w:color w:val="auto"/>
                <w:sz w:val="21"/>
                <w:szCs w:val="21"/>
                <w:highlight w:val="none"/>
                <w:lang w:eastAsia="zh-CN"/>
              </w:rPr>
              <w:t>是</w:t>
            </w:r>
            <w:r>
              <w:rPr>
                <w:rFonts w:hint="eastAsia" w:ascii="宋体" w:hAnsi="宋体" w:eastAsia="宋体"/>
                <w:bCs/>
                <w:color w:val="auto"/>
                <w:sz w:val="21"/>
                <w:szCs w:val="21"/>
                <w:highlight w:val="none"/>
              </w:rPr>
              <w:sym w:font="Wingdings" w:char="00A8"/>
            </w:r>
            <w:r>
              <w:rPr>
                <w:rFonts w:hint="eastAsia" w:ascii="宋体" w:hAnsi="宋体" w:eastAsia="宋体"/>
                <w:bCs/>
                <w:color w:val="auto"/>
                <w:sz w:val="21"/>
                <w:szCs w:val="21"/>
                <w:highlight w:val="none"/>
                <w:lang w:eastAsia="zh-CN"/>
              </w:rPr>
              <w:t>（预留份额为</w:t>
            </w:r>
            <w:r>
              <w:rPr>
                <w:rFonts w:hint="eastAsia" w:ascii="宋体" w:hAnsi="宋体" w:eastAsia="宋体"/>
                <w:bCs/>
                <w:color w:val="auto"/>
                <w:sz w:val="21"/>
                <w:szCs w:val="21"/>
                <w:highlight w:val="none"/>
                <w:u w:val="single"/>
                <w:lang w:eastAsia="zh-CN"/>
              </w:rPr>
              <w:t>：</w:t>
            </w:r>
            <w:r>
              <w:rPr>
                <w:rFonts w:hint="eastAsia" w:ascii="宋体" w:hAnsi="宋体" w:eastAsia="宋体"/>
                <w:bCs/>
                <w:color w:val="auto"/>
                <w:sz w:val="21"/>
                <w:szCs w:val="21"/>
                <w:highlight w:val="none"/>
                <w:u w:val="single"/>
                <w:lang w:val="en-US" w:eastAsia="zh-CN"/>
              </w:rPr>
              <w:t xml:space="preserve">   </w:t>
            </w:r>
            <w:r>
              <w:rPr>
                <w:rFonts w:hint="eastAsia" w:ascii="宋体" w:hAnsi="宋体" w:eastAsia="宋体"/>
                <w:bCs/>
                <w:color w:val="auto"/>
                <w:sz w:val="21"/>
                <w:szCs w:val="21"/>
                <w:highlight w:val="none"/>
                <w:lang w:val="en-US" w:eastAsia="zh-CN"/>
              </w:rPr>
              <w:t xml:space="preserve"> </w:t>
            </w:r>
            <w:r>
              <w:rPr>
                <w:rFonts w:hint="eastAsia" w:ascii="宋体" w:hAnsi="宋体" w:eastAsia="宋体"/>
                <w:bCs/>
                <w:color w:val="auto"/>
                <w:sz w:val="21"/>
                <w:szCs w:val="21"/>
                <w:highlight w:val="none"/>
                <w:lang w:eastAsia="zh-CN"/>
              </w:rPr>
              <w:t>）</w:t>
            </w:r>
            <w:r>
              <w:rPr>
                <w:rFonts w:hint="eastAsia" w:ascii="宋体" w:hAnsi="宋体" w:eastAsia="宋体"/>
                <w:bCs/>
                <w:color w:val="auto"/>
                <w:sz w:val="21"/>
                <w:szCs w:val="21"/>
                <w:highlight w:val="none"/>
                <w:lang w:val="en-US" w:eastAsia="zh-CN"/>
              </w:rPr>
              <w:t xml:space="preserve">    否</w:t>
            </w:r>
            <w:r>
              <w:rPr>
                <w:rFonts w:hint="eastAsia" w:ascii="宋体" w:hAnsi="宋体" w:eastAsia="宋体"/>
                <w:bCs/>
                <w:color w:val="auto"/>
                <w:sz w:val="21"/>
                <w:szCs w:val="21"/>
                <w:highlight w:val="none"/>
                <w:lang w:val="en-US" w:eastAsia="zh-CN"/>
              </w:rPr>
              <w:sym w:font="Wingdings" w:char="00FE"/>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6</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踏勘现场</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rFonts w:ascii="宋体" w:hAnsi="宋体" w:eastAsia="宋体"/>
                <w:b/>
                <w:color w:val="auto"/>
                <w:sz w:val="21"/>
                <w:szCs w:val="21"/>
                <w:highlight w:val="none"/>
              </w:rPr>
            </w:pPr>
            <w:r>
              <w:rPr>
                <w:rFonts w:hint="eastAsia" w:ascii="宋体" w:hAnsi="宋体" w:eastAsia="宋体"/>
                <w:bCs/>
                <w:color w:val="auto"/>
                <w:sz w:val="21"/>
                <w:szCs w:val="21"/>
                <w:highlight w:val="none"/>
              </w:rPr>
              <w:t>本项目不组织踏勘现场。</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60"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val="en-US" w:eastAsia="zh-CN"/>
              </w:rPr>
              <w:t>7</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招标信息发布网站</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60"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3762" w:type="dxa"/>
            <w:gridSpan w:val="2"/>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lang w:eastAsia="zh-CN"/>
              </w:rPr>
              <w:t>三方诚信招标网</w:t>
            </w:r>
          </w:p>
        </w:tc>
        <w:tc>
          <w:tcPr>
            <w:tcW w:w="3770" w:type="dxa"/>
            <w:gridSpan w:val="2"/>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中国政府采购网</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60"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3762" w:type="dxa"/>
            <w:gridSpan w:val="2"/>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val="0"/>
                <w:bCs/>
                <w:color w:val="auto"/>
                <w:sz w:val="21"/>
                <w:szCs w:val="21"/>
                <w:highlight w:val="none"/>
              </w:rPr>
              <w:t>http://www.sfcx.cn/</w:t>
            </w:r>
          </w:p>
        </w:tc>
        <w:tc>
          <w:tcPr>
            <w:tcW w:w="3770" w:type="dxa"/>
            <w:gridSpan w:val="2"/>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ascii="宋体" w:hAnsi="宋体" w:eastAsia="宋体"/>
                <w:color w:val="auto"/>
                <w:sz w:val="21"/>
                <w:szCs w:val="21"/>
                <w:highlight w:val="none"/>
              </w:rPr>
              <w:t>http://www.ccgp.gov.cn/</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cantSplit/>
          <w:trHeight w:val="845" w:hRule="atLeast"/>
        </w:trPr>
        <w:tc>
          <w:tcPr>
            <w:tcW w:w="8410" w:type="dxa"/>
            <w:gridSpan w:val="5"/>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二、投标文件的编制</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val="en-US" w:eastAsia="zh-CN"/>
              </w:rPr>
              <w:t>8</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投标语言</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textAlignment w:val="auto"/>
              <w:rPr>
                <w:rFonts w:ascii="宋体" w:hAnsi="宋体" w:eastAsia="宋体"/>
                <w:b/>
                <w:color w:val="auto"/>
                <w:sz w:val="21"/>
                <w:szCs w:val="21"/>
                <w:highlight w:val="none"/>
              </w:rPr>
            </w:pPr>
            <w:r>
              <w:rPr>
                <w:rFonts w:hint="eastAsia" w:ascii="宋体" w:hAnsi="宋体" w:eastAsia="宋体"/>
                <w:color w:val="auto"/>
                <w:sz w:val="21"/>
                <w:szCs w:val="21"/>
                <w:highlight w:val="none"/>
              </w:rPr>
              <w:t>中文。</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val="en-US" w:eastAsia="zh-CN"/>
              </w:rPr>
              <w:t>9</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投标报价</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b/>
                <w:color w:val="auto"/>
                <w:sz w:val="21"/>
                <w:szCs w:val="21"/>
                <w:highlight w:val="none"/>
              </w:rPr>
            </w:pPr>
            <w:r>
              <w:rPr>
                <w:rFonts w:hint="eastAsia" w:ascii="宋体" w:hAnsi="宋体" w:eastAsia="宋体"/>
                <w:color w:val="auto"/>
                <w:sz w:val="21"/>
                <w:szCs w:val="21"/>
                <w:highlight w:val="none"/>
              </w:rPr>
              <w:t>详见投标人须知。</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10</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投标样品</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b/>
                <w:color w:val="auto"/>
                <w:sz w:val="21"/>
                <w:szCs w:val="21"/>
                <w:highlight w:val="none"/>
              </w:rPr>
            </w:pPr>
            <w:r>
              <w:rPr>
                <w:rFonts w:hint="eastAsia" w:ascii="宋体" w:hAnsi="宋体" w:eastAsia="宋体"/>
                <w:color w:val="auto"/>
                <w:sz w:val="21"/>
                <w:szCs w:val="21"/>
                <w:highlight w:val="none"/>
              </w:rPr>
              <w:t>详见用户需求。</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val="en-US" w:eastAsia="zh-CN"/>
              </w:rPr>
              <w:t>11</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r>
              <w:rPr>
                <w:rFonts w:hint="eastAsia" w:ascii="宋体" w:hAnsi="宋体" w:eastAsia="宋体"/>
                <w:b/>
                <w:color w:val="auto"/>
                <w:sz w:val="21"/>
                <w:szCs w:val="21"/>
                <w:highlight w:val="none"/>
              </w:rPr>
              <w:t>核心产品</w:t>
            </w:r>
            <w:r>
              <w:rPr>
                <w:rFonts w:hint="eastAsia" w:ascii="宋体" w:hAnsi="宋体" w:eastAsia="宋体"/>
                <w:b/>
                <w:color w:val="auto"/>
                <w:sz w:val="21"/>
                <w:szCs w:val="21"/>
                <w:highlight w:val="none"/>
                <w:lang w:eastAsia="zh-CN"/>
              </w:rPr>
              <w:t>（本项目为服务项目，无核心产品）</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“●”为核心产品</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0"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12</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b/>
                <w:color w:val="auto"/>
                <w:sz w:val="21"/>
                <w:szCs w:val="21"/>
                <w:highlight w:val="none"/>
              </w:rPr>
            </w:pPr>
            <w:r>
              <w:rPr>
                <w:rFonts w:hint="eastAsia" w:ascii="宋体" w:hAnsi="宋体" w:eastAsia="宋体"/>
                <w:color w:val="auto"/>
                <w:sz w:val="21"/>
                <w:szCs w:val="21"/>
                <w:highlight w:val="none"/>
              </w:rPr>
              <w:t>★</w:t>
            </w:r>
            <w:r>
              <w:rPr>
                <w:rFonts w:hint="eastAsia" w:ascii="宋体" w:hAnsi="宋体" w:eastAsia="宋体"/>
                <w:b/>
                <w:color w:val="auto"/>
                <w:sz w:val="21"/>
                <w:szCs w:val="21"/>
                <w:highlight w:val="none"/>
              </w:rPr>
              <w:t>投标保证金</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0"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（1）投标保证金金额：人民币</w:t>
            </w:r>
            <w:r>
              <w:rPr>
                <w:rFonts w:hint="eastAsia" w:ascii="宋体" w:hAnsi="宋体" w:eastAsia="宋体"/>
                <w:b/>
                <w:bCs/>
                <w:color w:val="auto"/>
                <w:sz w:val="21"/>
                <w:szCs w:val="21"/>
                <w:highlight w:val="none"/>
                <w:lang w:eastAsia="zh-CN"/>
              </w:rPr>
              <w:t>壹拾伍万</w:t>
            </w:r>
            <w:r>
              <w:rPr>
                <w:rFonts w:hint="eastAsia" w:ascii="宋体" w:hAnsi="宋体" w:eastAsia="宋体"/>
                <w:color w:val="auto"/>
                <w:sz w:val="21"/>
                <w:szCs w:val="21"/>
                <w:highlight w:val="none"/>
              </w:rPr>
              <w:t>元整（￥</w:t>
            </w:r>
            <w:r>
              <w:rPr>
                <w:rFonts w:hint="eastAsia" w:ascii="宋体" w:hAnsi="宋体" w:eastAsia="宋体"/>
                <w:b/>
                <w:bCs/>
                <w:color w:val="auto"/>
                <w:sz w:val="21"/>
                <w:szCs w:val="21"/>
                <w:highlight w:val="none"/>
                <w:lang w:val="en-US" w:eastAsia="zh-CN"/>
              </w:rPr>
              <w:t>1</w:t>
            </w:r>
            <w:r>
              <w:rPr>
                <w:rFonts w:hint="eastAsia" w:ascii="宋体" w:hAnsi="宋体" w:eastAsia="宋体"/>
                <w:b/>
                <w:color w:val="auto"/>
                <w:sz w:val="21"/>
                <w:szCs w:val="21"/>
                <w:highlight w:val="none"/>
                <w:lang w:val="en-US" w:eastAsia="zh-CN"/>
              </w:rPr>
              <w:t>50,000.00</w:t>
            </w:r>
            <w:r>
              <w:rPr>
                <w:rFonts w:hint="eastAsia" w:ascii="宋体" w:hAnsi="宋体" w:eastAsia="宋体"/>
                <w:color w:val="auto"/>
                <w:sz w:val="21"/>
                <w:szCs w:val="21"/>
                <w:highlight w:val="none"/>
              </w:rPr>
              <w:t>）。</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0"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b/>
                <w:color w:val="auto"/>
                <w:sz w:val="21"/>
                <w:szCs w:val="21"/>
                <w:highlight w:val="none"/>
              </w:rPr>
            </w:pPr>
            <w:r>
              <w:rPr>
                <w:rFonts w:hint="eastAsia" w:ascii="宋体" w:hAnsi="宋体" w:eastAsia="宋体"/>
                <w:color w:val="auto"/>
                <w:sz w:val="21"/>
                <w:szCs w:val="21"/>
                <w:highlight w:val="none"/>
              </w:rPr>
              <w:t>（2）</w:t>
            </w:r>
            <w:r>
              <w:rPr>
                <w:rFonts w:hint="eastAsia" w:ascii="宋体" w:hAnsi="宋体" w:eastAsia="宋体"/>
                <w:color w:val="auto"/>
                <w:sz w:val="21"/>
                <w:szCs w:val="21"/>
                <w:highlight w:val="none"/>
                <w:lang w:val="zh-CN"/>
              </w:rPr>
              <w:t>投标保证金须严格按“招标文件第</w:t>
            </w:r>
            <w:r>
              <w:rPr>
                <w:rFonts w:hint="eastAsia" w:ascii="宋体" w:hAnsi="宋体" w:eastAsia="宋体"/>
                <w:color w:val="auto"/>
                <w:sz w:val="21"/>
                <w:szCs w:val="21"/>
                <w:highlight w:val="none"/>
                <w:lang w:val="en-US" w:eastAsia="zh-CN"/>
              </w:rPr>
              <w:t>四部分投</w:t>
            </w:r>
            <w:r>
              <w:rPr>
                <w:rFonts w:hint="eastAsia" w:ascii="宋体" w:hAnsi="宋体" w:eastAsia="宋体"/>
                <w:color w:val="auto"/>
                <w:sz w:val="21"/>
                <w:szCs w:val="21"/>
                <w:highlight w:val="none"/>
                <w:lang w:val="zh-CN"/>
              </w:rPr>
              <w:t>标人须知”要求提交。</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1600"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宋体" w:hAnsi="宋体" w:eastAsia="宋体"/>
                <w:color w:val="auto"/>
                <w:sz w:val="21"/>
                <w:szCs w:val="21"/>
                <w:highlight w:val="none"/>
                <w:lang w:val="zh-CN"/>
              </w:rPr>
            </w:pPr>
            <w:r>
              <w:rPr>
                <w:rFonts w:hint="eastAsia" w:ascii="宋体" w:hAnsi="宋体" w:eastAsia="宋体"/>
                <w:color w:val="auto"/>
                <w:sz w:val="21"/>
                <w:szCs w:val="21"/>
                <w:highlight w:val="none"/>
                <w:lang w:val="zh-CN"/>
              </w:rPr>
              <w:t>（3）保证金递交账户：</w:t>
            </w:r>
          </w:p>
          <w:p>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宋体" w:hAnsi="宋体" w:eastAsia="宋体"/>
                <w:color w:val="auto"/>
                <w:sz w:val="21"/>
                <w:szCs w:val="21"/>
                <w:highlight w:val="none"/>
                <w:lang w:val="zh-CN"/>
              </w:rPr>
            </w:pPr>
            <w:r>
              <w:rPr>
                <w:rFonts w:hint="eastAsia" w:ascii="宋体" w:hAnsi="宋体" w:eastAsia="宋体"/>
                <w:color w:val="auto"/>
                <w:sz w:val="21"/>
                <w:szCs w:val="21"/>
                <w:highlight w:val="none"/>
                <w:lang w:val="zh-CN"/>
              </w:rPr>
              <w:t>收款人：三方诚信招标有限公司东莞分公司</w:t>
            </w:r>
          </w:p>
          <w:p>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宋体" w:hAnsi="宋体" w:eastAsia="宋体"/>
                <w:color w:val="auto"/>
                <w:sz w:val="21"/>
                <w:szCs w:val="21"/>
                <w:highlight w:val="none"/>
                <w:lang w:val="zh-CN"/>
              </w:rPr>
            </w:pPr>
            <w:r>
              <w:rPr>
                <w:rFonts w:hint="eastAsia" w:ascii="宋体" w:hAnsi="宋体" w:eastAsia="宋体"/>
                <w:color w:val="auto"/>
                <w:sz w:val="21"/>
                <w:szCs w:val="21"/>
                <w:highlight w:val="none"/>
                <w:lang w:val="zh-CN"/>
              </w:rPr>
              <w:t>开户行：广发银行股份有限公司东莞南城支行</w:t>
            </w:r>
          </w:p>
          <w:p>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宋体" w:hAnsi="宋体" w:eastAsia="宋体"/>
                <w:color w:val="auto"/>
                <w:sz w:val="21"/>
                <w:szCs w:val="21"/>
                <w:highlight w:val="none"/>
                <w:lang w:val="zh-CN"/>
              </w:rPr>
            </w:pPr>
            <w:r>
              <w:rPr>
                <w:rFonts w:hint="eastAsia" w:ascii="宋体" w:hAnsi="宋体" w:eastAsia="宋体"/>
                <w:color w:val="auto"/>
                <w:sz w:val="21"/>
                <w:szCs w:val="21"/>
                <w:highlight w:val="none"/>
                <w:lang w:val="zh-CN"/>
              </w:rPr>
              <w:t>账  号：6232590699050047586</w:t>
            </w:r>
          </w:p>
          <w:p>
            <w:pPr>
              <w:keepNext w:val="0"/>
              <w:keepLines w:val="0"/>
              <w:pageBreakBefore w:val="0"/>
              <w:kinsoku/>
              <w:wordWrap/>
              <w:overflowPunct/>
              <w:topLinePunct w:val="0"/>
              <w:autoSpaceDE/>
              <w:autoSpaceDN/>
              <w:bidi w:val="0"/>
              <w:adjustRightInd/>
              <w:snapToGrid/>
              <w:spacing w:after="0" w:line="300" w:lineRule="exact"/>
              <w:jc w:val="both"/>
              <w:textAlignment w:val="auto"/>
              <w:rPr>
                <w:color w:val="auto"/>
                <w:highlight w:val="none"/>
              </w:rPr>
            </w:pPr>
            <w:r>
              <w:rPr>
                <w:rFonts w:hint="eastAsia" w:ascii="宋体" w:hAnsi="宋体" w:eastAsia="宋体"/>
                <w:color w:val="auto"/>
                <w:sz w:val="21"/>
                <w:szCs w:val="21"/>
                <w:highlight w:val="none"/>
                <w:lang w:val="zh-CN"/>
              </w:rPr>
              <w:t>（各投标人在转账或电汇时须在用途栏上写明采购项目编号）。</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rPr>
              <w:t>1</w:t>
            </w:r>
            <w:r>
              <w:rPr>
                <w:rFonts w:hint="eastAsia" w:ascii="宋体" w:hAnsi="宋体" w:eastAsia="宋体"/>
                <w:color w:val="auto"/>
                <w:sz w:val="21"/>
                <w:szCs w:val="21"/>
                <w:highlight w:val="none"/>
                <w:lang w:val="en-US" w:eastAsia="zh-CN"/>
              </w:rPr>
              <w:t>3</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b/>
                <w:bCs/>
                <w:color w:val="auto"/>
                <w:sz w:val="21"/>
                <w:szCs w:val="21"/>
                <w:highlight w:val="none"/>
                <w:lang w:val="zh-CN"/>
              </w:rPr>
            </w:pPr>
            <w:r>
              <w:rPr>
                <w:rFonts w:hint="eastAsia" w:ascii="宋体" w:hAnsi="宋体" w:eastAsia="宋体"/>
                <w:b/>
                <w:bCs/>
                <w:color w:val="auto"/>
                <w:sz w:val="21"/>
                <w:szCs w:val="21"/>
                <w:highlight w:val="none"/>
                <w:lang w:val="zh-CN"/>
              </w:rPr>
              <w:t>投标保证金退还</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1535"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lang w:val="zh-CN"/>
              </w:rPr>
            </w:pPr>
            <w:r>
              <w:rPr>
                <w:rFonts w:hint="eastAsia" w:ascii="宋体" w:hAnsi="宋体" w:eastAsia="宋体"/>
                <w:color w:val="auto"/>
                <w:sz w:val="21"/>
                <w:szCs w:val="21"/>
                <w:highlight w:val="none"/>
                <w:lang w:val="zh-CN"/>
              </w:rPr>
              <w:t>（</w:t>
            </w:r>
            <w:r>
              <w:rPr>
                <w:rFonts w:hint="eastAsia" w:ascii="宋体" w:hAnsi="宋体" w:eastAsia="宋体"/>
                <w:color w:val="auto"/>
                <w:sz w:val="21"/>
                <w:szCs w:val="21"/>
                <w:highlight w:val="none"/>
              </w:rPr>
              <w:t>1</w:t>
            </w:r>
            <w:r>
              <w:rPr>
                <w:rFonts w:hint="eastAsia" w:ascii="宋体" w:hAnsi="宋体" w:eastAsia="宋体"/>
                <w:color w:val="auto"/>
                <w:sz w:val="21"/>
                <w:szCs w:val="21"/>
                <w:highlight w:val="none"/>
                <w:lang w:val="zh-CN"/>
              </w:rPr>
              <w:t>）未中标的投标人的保证金在采购结果公示发出后5个工作日内退还，中标投标人的保证金在采购合同签订后5个工作日内退还。</w:t>
            </w:r>
          </w:p>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lang w:val="zh-CN"/>
              </w:rPr>
            </w:pPr>
            <w:r>
              <w:rPr>
                <w:rFonts w:hint="eastAsia" w:ascii="宋体" w:hAnsi="宋体" w:eastAsia="宋体"/>
                <w:color w:val="auto"/>
                <w:sz w:val="21"/>
                <w:szCs w:val="21"/>
                <w:highlight w:val="none"/>
                <w:lang w:val="zh-CN"/>
              </w:rPr>
              <w:t>（</w:t>
            </w:r>
            <w:r>
              <w:rPr>
                <w:rFonts w:hint="eastAsia" w:ascii="宋体" w:hAnsi="宋体" w:eastAsia="宋体"/>
                <w:color w:val="auto"/>
                <w:sz w:val="21"/>
                <w:szCs w:val="21"/>
                <w:highlight w:val="none"/>
              </w:rPr>
              <w:t>2</w:t>
            </w:r>
            <w:r>
              <w:rPr>
                <w:rFonts w:hint="eastAsia" w:ascii="宋体" w:hAnsi="宋体" w:eastAsia="宋体"/>
                <w:color w:val="auto"/>
                <w:sz w:val="21"/>
                <w:szCs w:val="21"/>
                <w:highlight w:val="none"/>
                <w:lang w:val="zh-CN"/>
              </w:rPr>
              <w:t>）为方便退还未中标的投保人的保证金，投标人应制作《投标保证金汇入情况说明》随开标文件一并递交。</w:t>
            </w:r>
          </w:p>
          <w:p>
            <w:pPr>
              <w:keepNext w:val="0"/>
              <w:keepLines w:val="0"/>
              <w:pageBreakBefore w:val="0"/>
              <w:kinsoku/>
              <w:wordWrap/>
              <w:overflowPunct/>
              <w:topLinePunct w:val="0"/>
              <w:autoSpaceDE/>
              <w:autoSpaceDN/>
              <w:bidi w:val="0"/>
              <w:adjustRightInd/>
              <w:snapToGrid/>
              <w:spacing w:after="0" w:line="300" w:lineRule="exact"/>
              <w:jc w:val="both"/>
              <w:textAlignment w:val="auto"/>
              <w:rPr>
                <w:rFonts w:eastAsia="宋体"/>
                <w:color w:val="auto"/>
                <w:highlight w:val="none"/>
              </w:rPr>
            </w:pPr>
            <w:r>
              <w:rPr>
                <w:rFonts w:hint="eastAsia" w:ascii="宋体" w:hAnsi="宋体" w:eastAsia="宋体"/>
                <w:color w:val="auto"/>
                <w:sz w:val="21"/>
                <w:szCs w:val="21"/>
                <w:highlight w:val="none"/>
                <w:lang w:val="zh-CN"/>
              </w:rPr>
              <w:t>（</w:t>
            </w:r>
            <w:r>
              <w:rPr>
                <w:rFonts w:hint="eastAsia" w:ascii="宋体" w:hAnsi="宋体" w:eastAsia="宋体"/>
                <w:color w:val="auto"/>
                <w:sz w:val="21"/>
                <w:szCs w:val="21"/>
                <w:highlight w:val="none"/>
              </w:rPr>
              <w:t>3</w:t>
            </w:r>
            <w:r>
              <w:rPr>
                <w:rFonts w:hint="eastAsia" w:ascii="宋体" w:hAnsi="宋体" w:eastAsia="宋体"/>
                <w:color w:val="auto"/>
                <w:sz w:val="21"/>
                <w:szCs w:val="21"/>
                <w:highlight w:val="none"/>
                <w:lang w:val="zh-CN"/>
              </w:rPr>
              <w:t>）投标保证金退还联系电话：</w:t>
            </w:r>
            <w:r>
              <w:rPr>
                <w:rFonts w:hint="eastAsia" w:ascii="宋体" w:hAnsi="宋体" w:eastAsia="宋体"/>
                <w:color w:val="auto"/>
                <w:sz w:val="21"/>
                <w:szCs w:val="21"/>
                <w:highlight w:val="none"/>
              </w:rPr>
              <w:t>0769-</w:t>
            </w:r>
            <w:r>
              <w:rPr>
                <w:rFonts w:hint="eastAsia" w:ascii="宋体" w:hAnsi="宋体" w:eastAsia="宋体"/>
                <w:color w:val="auto"/>
                <w:sz w:val="21"/>
                <w:szCs w:val="21"/>
                <w:highlight w:val="none"/>
                <w:lang w:eastAsia="zh-CN"/>
              </w:rPr>
              <w:t>2168</w:t>
            </w:r>
            <w:r>
              <w:rPr>
                <w:rFonts w:hint="eastAsia" w:ascii="宋体" w:hAnsi="宋体" w:eastAsia="宋体"/>
                <w:color w:val="auto"/>
                <w:sz w:val="21"/>
                <w:szCs w:val="21"/>
                <w:highlight w:val="none"/>
              </w:rPr>
              <w:t>2660-80</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val="en-US" w:eastAsia="zh-CN"/>
              </w:rPr>
              <w:t>14</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b/>
                <w:color w:val="auto"/>
                <w:sz w:val="21"/>
                <w:szCs w:val="21"/>
                <w:highlight w:val="none"/>
              </w:rPr>
            </w:pPr>
            <w:r>
              <w:rPr>
                <w:rFonts w:hint="eastAsia" w:ascii="宋体" w:hAnsi="宋体" w:eastAsia="宋体"/>
                <w:color w:val="auto"/>
                <w:sz w:val="21"/>
                <w:szCs w:val="21"/>
                <w:highlight w:val="none"/>
              </w:rPr>
              <w:t>★</w:t>
            </w:r>
            <w:r>
              <w:rPr>
                <w:rFonts w:hint="eastAsia" w:ascii="宋体" w:hAnsi="宋体" w:eastAsia="宋体"/>
                <w:b/>
                <w:color w:val="auto"/>
                <w:sz w:val="21"/>
                <w:szCs w:val="21"/>
                <w:highlight w:val="none"/>
              </w:rPr>
              <w:t>投标有效期</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b/>
                <w:color w:val="auto"/>
                <w:sz w:val="21"/>
                <w:szCs w:val="21"/>
                <w:highlight w:val="none"/>
              </w:rPr>
            </w:pPr>
            <w:r>
              <w:rPr>
                <w:rFonts w:hint="eastAsia" w:ascii="宋体" w:hAnsi="宋体" w:eastAsia="宋体"/>
                <w:color w:val="auto"/>
                <w:sz w:val="21"/>
                <w:szCs w:val="21"/>
                <w:highlight w:val="none"/>
              </w:rPr>
              <w:t>九十天。</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15</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color w:val="auto"/>
                <w:sz w:val="21"/>
                <w:szCs w:val="21"/>
                <w:highlight w:val="none"/>
              </w:rPr>
            </w:pPr>
            <w:r>
              <w:rPr>
                <w:rFonts w:hint="eastAsia" w:ascii="宋体" w:hAnsi="宋体" w:eastAsia="宋体"/>
                <w:b/>
                <w:color w:val="auto"/>
                <w:sz w:val="21"/>
                <w:szCs w:val="21"/>
                <w:highlight w:val="none"/>
              </w:rPr>
              <w:t>信用信息查询渠道</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color w:val="auto"/>
                <w:sz w:val="21"/>
                <w:szCs w:val="21"/>
                <w:highlight w:val="none"/>
                <w:lang w:val="en-US" w:eastAsia="zh-CN"/>
              </w:rPr>
            </w:pPr>
          </w:p>
        </w:tc>
        <w:tc>
          <w:tcPr>
            <w:tcW w:w="3766" w:type="dxa"/>
            <w:gridSpan w:val="3"/>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b/>
                <w:color w:val="auto"/>
                <w:sz w:val="21"/>
                <w:szCs w:val="21"/>
                <w:highlight w:val="none"/>
                <w:lang w:eastAsia="zh-CN"/>
              </w:rPr>
            </w:pPr>
            <w:r>
              <w:rPr>
                <w:rFonts w:hint="eastAsia" w:ascii="宋体" w:hAnsi="宋体" w:eastAsia="宋体"/>
                <w:b/>
                <w:color w:val="auto"/>
                <w:sz w:val="21"/>
                <w:szCs w:val="21"/>
                <w:highlight w:val="none"/>
                <w:lang w:eastAsia="zh-CN"/>
              </w:rPr>
              <w:t>信用中国</w:t>
            </w:r>
          </w:p>
        </w:tc>
        <w:tc>
          <w:tcPr>
            <w:tcW w:w="3766" w:type="dxa"/>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b/>
                <w:color w:val="auto"/>
                <w:sz w:val="21"/>
                <w:szCs w:val="21"/>
                <w:highlight w:val="none"/>
              </w:rPr>
            </w:pPr>
            <w:r>
              <w:rPr>
                <w:rFonts w:hint="eastAsia" w:ascii="宋体" w:hAnsi="宋体" w:eastAsia="宋体"/>
                <w:b/>
                <w:color w:val="auto"/>
                <w:sz w:val="21"/>
                <w:szCs w:val="21"/>
                <w:highlight w:val="none"/>
              </w:rPr>
              <w:t>中国政府采购网</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color w:val="auto"/>
                <w:sz w:val="21"/>
                <w:szCs w:val="21"/>
                <w:highlight w:val="none"/>
                <w:lang w:val="en-US" w:eastAsia="zh-CN"/>
              </w:rPr>
            </w:pPr>
          </w:p>
        </w:tc>
        <w:tc>
          <w:tcPr>
            <w:tcW w:w="3766" w:type="dxa"/>
            <w:gridSpan w:val="3"/>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https://www.creditchina.gov.cn/</w:t>
            </w:r>
          </w:p>
        </w:tc>
        <w:tc>
          <w:tcPr>
            <w:tcW w:w="3766" w:type="dxa"/>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宋体" w:hAnsi="宋体" w:eastAsia="宋体"/>
                <w:color w:val="auto"/>
                <w:sz w:val="21"/>
                <w:szCs w:val="21"/>
                <w:highlight w:val="none"/>
              </w:rPr>
            </w:pPr>
            <w:r>
              <w:rPr>
                <w:rFonts w:ascii="宋体" w:hAnsi="宋体" w:eastAsia="宋体"/>
                <w:color w:val="auto"/>
                <w:sz w:val="21"/>
                <w:szCs w:val="21"/>
                <w:highlight w:val="none"/>
              </w:rPr>
              <w:t>http://www.ccgp.gov.cn/</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16</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投标人应提交以下投标文件</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2608" w:type="dxa"/>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投标文件类型</w:t>
            </w:r>
          </w:p>
        </w:tc>
        <w:tc>
          <w:tcPr>
            <w:tcW w:w="4924" w:type="dxa"/>
            <w:gridSpan w:val="3"/>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份数</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2608" w:type="dxa"/>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开标文件</w:t>
            </w:r>
          </w:p>
        </w:tc>
        <w:tc>
          <w:tcPr>
            <w:tcW w:w="4924" w:type="dxa"/>
            <w:gridSpan w:val="3"/>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PrEx>
        <w:trPr>
          <w:trHeight w:val="494"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2608" w:type="dxa"/>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投标文件正本</w:t>
            </w:r>
          </w:p>
        </w:tc>
        <w:tc>
          <w:tcPr>
            <w:tcW w:w="4924" w:type="dxa"/>
            <w:gridSpan w:val="3"/>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PrEx>
        <w:trPr>
          <w:trHeight w:val="494"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2608" w:type="dxa"/>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投标文件副本</w:t>
            </w:r>
          </w:p>
        </w:tc>
        <w:tc>
          <w:tcPr>
            <w:tcW w:w="4924" w:type="dxa"/>
            <w:gridSpan w:val="3"/>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default" w:ascii="宋体" w:hAnsi="宋体" w:eastAsia="宋体"/>
                <w:b/>
                <w:color w:val="auto"/>
                <w:sz w:val="21"/>
                <w:szCs w:val="21"/>
                <w:highlight w:val="none"/>
                <w:lang w:val="en-US" w:eastAsia="zh-CN"/>
              </w:rPr>
            </w:pPr>
            <w:r>
              <w:rPr>
                <w:rFonts w:hint="eastAsia" w:ascii="宋体" w:hAnsi="宋体" w:eastAsia="宋体"/>
                <w:b/>
                <w:color w:val="auto"/>
                <w:sz w:val="21"/>
                <w:szCs w:val="21"/>
                <w:highlight w:val="none"/>
                <w:lang w:val="en-US" w:eastAsia="zh-CN"/>
              </w:rPr>
              <w:t>7</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2608" w:type="dxa"/>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电子文档</w:t>
            </w:r>
          </w:p>
        </w:tc>
        <w:tc>
          <w:tcPr>
            <w:tcW w:w="4924" w:type="dxa"/>
            <w:gridSpan w:val="3"/>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PrEx>
        <w:trPr>
          <w:trHeight w:val="857" w:hRule="atLeast"/>
        </w:trPr>
        <w:tc>
          <w:tcPr>
            <w:tcW w:w="8410" w:type="dxa"/>
            <w:gridSpan w:val="5"/>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三、开标与评标</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17</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r>
              <w:rPr>
                <w:rFonts w:hint="eastAsia" w:ascii="宋体" w:hAnsi="宋体" w:eastAsia="宋体"/>
                <w:b/>
                <w:color w:val="auto"/>
                <w:sz w:val="21"/>
                <w:szCs w:val="21"/>
                <w:highlight w:val="none"/>
              </w:rPr>
              <w:t>本项目评标方法</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b/>
                <w:color w:val="auto"/>
                <w:sz w:val="21"/>
                <w:szCs w:val="21"/>
                <w:highlight w:val="none"/>
              </w:rPr>
            </w:pPr>
            <w:r>
              <w:rPr>
                <w:rFonts w:hint="eastAsia" w:ascii="宋体" w:hAnsi="宋体" w:eastAsia="宋体"/>
                <w:color w:val="auto"/>
                <w:sz w:val="21"/>
                <w:szCs w:val="21"/>
                <w:highlight w:val="none"/>
              </w:rPr>
              <w:t>综合评分法。</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18</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综合评分法评分因素和权重分值</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b/>
                <w:color w:val="auto"/>
                <w:sz w:val="21"/>
                <w:szCs w:val="21"/>
                <w:highlight w:val="none"/>
              </w:rPr>
            </w:pPr>
            <w:r>
              <w:rPr>
                <w:rFonts w:hint="eastAsia" w:ascii="宋体" w:hAnsi="宋体" w:eastAsia="宋体"/>
                <w:color w:val="auto"/>
                <w:sz w:val="21"/>
                <w:szCs w:val="21"/>
                <w:highlight w:val="none"/>
              </w:rPr>
              <w:t>见附表</w:t>
            </w:r>
            <w:r>
              <w:rPr>
                <w:rFonts w:hint="eastAsia" w:ascii="宋体" w:hAnsi="宋体" w:eastAsia="宋体"/>
                <w:color w:val="auto"/>
                <w:sz w:val="21"/>
                <w:szCs w:val="21"/>
                <w:highlight w:val="none"/>
                <w:lang w:val="en-US" w:eastAsia="zh-CN"/>
              </w:rPr>
              <w:t>二</w:t>
            </w:r>
            <w:r>
              <w:rPr>
                <w:rFonts w:hint="eastAsia" w:ascii="宋体" w:hAnsi="宋体" w:eastAsia="宋体"/>
                <w:color w:val="auto"/>
                <w:sz w:val="21"/>
                <w:szCs w:val="21"/>
                <w:highlight w:val="none"/>
              </w:rPr>
              <w:t>。</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19（仅适用于政府采购）</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r>
              <w:rPr>
                <w:rFonts w:hint="eastAsia" w:ascii="宋体" w:hAnsi="宋体" w:eastAsia="宋体"/>
                <w:b/>
                <w:color w:val="auto"/>
                <w:sz w:val="21"/>
                <w:szCs w:val="21"/>
                <w:highlight w:val="none"/>
              </w:rPr>
              <w:t>小型或微型企业、监狱企业、残疾人福利性单位投标价格折扣标准</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lang w:val="en-US" w:eastAsia="zh-CN"/>
              </w:rPr>
              <w:t>10</w:t>
            </w:r>
            <w:r>
              <w:rPr>
                <w:rFonts w:hint="eastAsia" w:ascii="宋体" w:hAnsi="宋体" w:eastAsia="宋体"/>
                <w:color w:val="auto"/>
                <w:sz w:val="21"/>
                <w:szCs w:val="21"/>
                <w:highlight w:val="none"/>
              </w:rPr>
              <w:t>%。</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r>
              <w:rPr>
                <w:rFonts w:hint="eastAsia" w:ascii="宋体" w:hAnsi="宋体" w:eastAsia="宋体"/>
                <w:b/>
                <w:color w:val="auto"/>
                <w:sz w:val="21"/>
                <w:szCs w:val="21"/>
                <w:highlight w:val="none"/>
              </w:rPr>
              <w:t>投标人符合须知“优惠政策”中联合体规定的投标价格折扣标准</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对于联合协议或者分包意向协议约定小微企业的合同份额占到合同总金额30%以上的，报价给予</w:t>
            </w:r>
            <w:r>
              <w:rPr>
                <w:rFonts w:hint="eastAsia" w:ascii="宋体" w:hAnsi="宋体" w:eastAsia="宋体"/>
                <w:b/>
                <w:bCs/>
                <w:color w:val="auto"/>
                <w:sz w:val="21"/>
                <w:szCs w:val="21"/>
                <w:highlight w:val="none"/>
                <w:u w:val="single"/>
                <w:lang w:val="en-US" w:eastAsia="zh-CN"/>
              </w:rPr>
              <w:t>3</w:t>
            </w:r>
            <w:r>
              <w:rPr>
                <w:rFonts w:hint="default" w:ascii="宋体" w:hAnsi="宋体" w:eastAsia="宋体"/>
                <w:b/>
                <w:bCs/>
                <w:color w:val="auto"/>
                <w:sz w:val="21"/>
                <w:szCs w:val="21"/>
                <w:highlight w:val="none"/>
                <w:u w:val="single"/>
              </w:rPr>
              <w:t>%</w:t>
            </w:r>
            <w:r>
              <w:rPr>
                <w:rFonts w:hint="eastAsia" w:ascii="宋体" w:hAnsi="宋体" w:eastAsia="宋体"/>
                <w:color w:val="auto"/>
                <w:sz w:val="21"/>
                <w:szCs w:val="21"/>
                <w:highlight w:val="none"/>
              </w:rPr>
              <w:t>的扣除。</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r>
              <w:rPr>
                <w:rFonts w:hint="eastAsia" w:ascii="宋体" w:hAnsi="宋体" w:eastAsia="宋体"/>
                <w:b/>
                <w:bCs/>
                <w:color w:val="auto"/>
                <w:sz w:val="21"/>
                <w:szCs w:val="21"/>
                <w:highlight w:val="none"/>
              </w:rPr>
              <w:t>投标人所投产品为获得节能产品认证或环境标志产品认证证书的价格折扣标准（相关规定详见投标人须知“优惠政策”）</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该</w:t>
            </w:r>
            <w:r>
              <w:rPr>
                <w:rFonts w:hint="eastAsia" w:ascii="宋体" w:hAnsi="宋体" w:eastAsia="宋体"/>
                <w:color w:val="auto"/>
                <w:sz w:val="21"/>
                <w:szCs w:val="21"/>
                <w:highlight w:val="none"/>
              </w:rPr>
              <w:t>项节能或环境标志产品折扣3%。</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cantSplit/>
          <w:trHeight w:val="817" w:hRule="atLeast"/>
        </w:trPr>
        <w:tc>
          <w:tcPr>
            <w:tcW w:w="8410" w:type="dxa"/>
            <w:gridSpan w:val="5"/>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四、授予合同</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20</w:t>
            </w:r>
          </w:p>
        </w:tc>
        <w:tc>
          <w:tcPr>
            <w:tcW w:w="7532" w:type="dxa"/>
            <w:gridSpan w:val="4"/>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履约保证金（</w:t>
            </w:r>
            <w:r>
              <w:rPr>
                <w:rFonts w:hint="eastAsia" w:ascii="宋体" w:hAnsi="宋体" w:eastAsia="宋体"/>
                <w:b/>
                <w:color w:val="auto"/>
                <w:sz w:val="21"/>
                <w:szCs w:val="21"/>
                <w:highlight w:val="none"/>
                <w:lang w:eastAsia="zh-CN"/>
              </w:rPr>
              <w:t>本项目</w:t>
            </w:r>
            <w:r>
              <w:rPr>
                <w:rFonts w:hint="eastAsia" w:ascii="宋体" w:hAnsi="宋体" w:eastAsia="宋体"/>
                <w:b/>
                <w:color w:val="auto"/>
                <w:sz w:val="21"/>
                <w:szCs w:val="21"/>
                <w:highlight w:val="none"/>
              </w:rPr>
              <w:t>需</w:t>
            </w:r>
            <w:r>
              <w:rPr>
                <w:rFonts w:hint="eastAsia" w:ascii="宋体" w:hAnsi="宋体" w:eastAsia="宋体"/>
                <w:b/>
                <w:color w:val="auto"/>
                <w:sz w:val="21"/>
                <w:szCs w:val="21"/>
                <w:highlight w:val="none"/>
                <w:lang w:eastAsia="zh-CN"/>
              </w:rPr>
              <w:t>收取</w:t>
            </w:r>
            <w:r>
              <w:rPr>
                <w:rFonts w:hint="eastAsia" w:ascii="宋体" w:hAnsi="宋体" w:eastAsia="宋体"/>
                <w:b/>
                <w:color w:val="auto"/>
                <w:sz w:val="21"/>
                <w:szCs w:val="21"/>
                <w:highlight w:val="none"/>
              </w:rPr>
              <w:t>）</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540"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b/>
                <w:color w:val="auto"/>
                <w:sz w:val="21"/>
                <w:szCs w:val="21"/>
                <w:highlight w:val="none"/>
              </w:rPr>
            </w:pPr>
            <w:r>
              <w:rPr>
                <w:rFonts w:hint="eastAsia" w:ascii="宋体" w:hAnsi="宋体" w:eastAsia="宋体"/>
                <w:color w:val="auto"/>
                <w:sz w:val="21"/>
                <w:szCs w:val="21"/>
                <w:highlight w:val="none"/>
              </w:rPr>
              <w:t>履约保证金的数额为政府采购合同金额的5%。</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565" w:hRule="atLeast"/>
        </w:trPr>
        <w:tc>
          <w:tcPr>
            <w:tcW w:w="878" w:type="dxa"/>
            <w:vMerge w:val="restart"/>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21</w:t>
            </w:r>
          </w:p>
        </w:tc>
        <w:tc>
          <w:tcPr>
            <w:tcW w:w="7532" w:type="dxa"/>
            <w:gridSpan w:val="4"/>
            <w:vAlign w:val="center"/>
          </w:tcPr>
          <w:p>
            <w:pPr>
              <w:keepNext w:val="0"/>
              <w:keepLines w:val="0"/>
              <w:pageBreakBefore w:val="0"/>
              <w:kinsoku/>
              <w:wordWrap/>
              <w:overflowPunct/>
              <w:topLinePunct w:val="0"/>
              <w:autoSpaceDE/>
              <w:autoSpaceDN/>
              <w:bidi w:val="0"/>
              <w:adjustRightInd/>
              <w:snapToGrid/>
              <w:spacing w:after="0" w:line="300" w:lineRule="exact"/>
              <w:jc w:val="both"/>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中标服务费</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1170"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widowControl w:val="0"/>
              <w:tabs>
                <w:tab w:val="left" w:pos="907"/>
              </w:tabs>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（1）中标服务费</w:t>
            </w:r>
            <w:r>
              <w:rPr>
                <w:rFonts w:hint="eastAsia" w:ascii="宋体" w:hAnsi="宋体" w:eastAsia="宋体"/>
                <w:color w:val="auto"/>
                <w:sz w:val="21"/>
                <w:szCs w:val="21"/>
                <w:highlight w:val="none"/>
                <w:lang w:eastAsia="zh-CN"/>
              </w:rPr>
              <w:t>参照</w:t>
            </w:r>
            <w:r>
              <w:rPr>
                <w:rFonts w:hint="eastAsia" w:ascii="宋体" w:hAnsi="宋体" w:eastAsia="宋体"/>
                <w:color w:val="auto"/>
                <w:sz w:val="21"/>
                <w:szCs w:val="21"/>
                <w:highlight w:val="none"/>
              </w:rPr>
              <w:t>国家计委[计价格[2002]1980号]文和国家发改委[发改价格[2011]534号]文及相关规定向中标单位收取，按差额定率累进法计算，以</w:t>
            </w:r>
            <w:r>
              <w:rPr>
                <w:rFonts w:hint="eastAsia" w:ascii="宋体" w:hAnsi="宋体" w:eastAsia="宋体"/>
                <w:color w:val="auto"/>
                <w:sz w:val="21"/>
                <w:szCs w:val="21"/>
                <w:highlight w:val="none"/>
                <w:lang w:eastAsia="zh-CN"/>
              </w:rPr>
              <w:t>项目固定结算价</w:t>
            </w:r>
            <w:r>
              <w:rPr>
                <w:rFonts w:hint="eastAsia" w:ascii="宋体" w:hAnsi="宋体" w:eastAsia="宋体"/>
                <w:color w:val="auto"/>
                <w:sz w:val="21"/>
                <w:szCs w:val="21"/>
                <w:highlight w:val="none"/>
              </w:rPr>
              <w:t>作为收费的计算</w:t>
            </w:r>
            <w:r>
              <w:rPr>
                <w:rFonts w:hint="eastAsia" w:ascii="宋体" w:hAnsi="宋体" w:eastAsia="宋体"/>
                <w:color w:val="auto"/>
                <w:sz w:val="21"/>
                <w:szCs w:val="21"/>
                <w:highlight w:val="none"/>
                <w:lang w:eastAsia="zh-CN"/>
              </w:rPr>
              <w:t>参照</w:t>
            </w:r>
            <w:r>
              <w:rPr>
                <w:rFonts w:hint="eastAsia" w:ascii="宋体" w:hAnsi="宋体" w:eastAsia="宋体"/>
                <w:color w:val="auto"/>
                <w:sz w:val="21"/>
                <w:szCs w:val="21"/>
                <w:highlight w:val="none"/>
              </w:rPr>
              <w:t>；中标服务费最低收费标准为伍仟元整。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1406" w:hRule="atLeast"/>
        </w:trPr>
        <w:tc>
          <w:tcPr>
            <w:tcW w:w="878" w:type="dxa"/>
            <w:vMerge w:val="continue"/>
            <w:vAlign w:val="center"/>
          </w:tcPr>
          <w:p>
            <w:pPr>
              <w:keepNext w:val="0"/>
              <w:keepLines w:val="0"/>
              <w:pageBreakBefore w:val="0"/>
              <w:kinsoku/>
              <w:wordWrap/>
              <w:overflowPunct/>
              <w:topLinePunct w:val="0"/>
              <w:autoSpaceDE/>
              <w:autoSpaceDN/>
              <w:bidi w:val="0"/>
              <w:adjustRightInd/>
              <w:snapToGrid/>
              <w:spacing w:after="0" w:line="300" w:lineRule="exact"/>
              <w:jc w:val="center"/>
              <w:textAlignment w:val="auto"/>
              <w:rPr>
                <w:rFonts w:ascii="宋体" w:hAnsi="宋体" w:eastAsia="宋体"/>
                <w:color w:val="auto"/>
                <w:sz w:val="21"/>
                <w:szCs w:val="21"/>
                <w:highlight w:val="none"/>
              </w:rPr>
            </w:pPr>
          </w:p>
        </w:tc>
        <w:tc>
          <w:tcPr>
            <w:tcW w:w="7532" w:type="dxa"/>
            <w:gridSpan w:val="4"/>
            <w:vAlign w:val="center"/>
          </w:tcPr>
          <w:p>
            <w:pPr>
              <w:keepNext w:val="0"/>
              <w:keepLines w:val="0"/>
              <w:pageBreakBefore w:val="0"/>
              <w:widowControl w:val="0"/>
              <w:tabs>
                <w:tab w:val="left" w:pos="907"/>
              </w:tabs>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（2）中标服务费以转账或现金的形式支付。采购代理机构服务费汇入账号：</w:t>
            </w:r>
          </w:p>
          <w:p>
            <w:pPr>
              <w:keepNext w:val="0"/>
              <w:keepLines w:val="0"/>
              <w:pageBreakBefore w:val="0"/>
              <w:widowControl w:val="0"/>
              <w:tabs>
                <w:tab w:val="left" w:pos="907"/>
              </w:tabs>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收 款 人：三方诚信招标有限公司东莞分公司</w:t>
            </w:r>
          </w:p>
          <w:p>
            <w:pPr>
              <w:keepNext w:val="0"/>
              <w:keepLines w:val="0"/>
              <w:pageBreakBefore w:val="0"/>
              <w:widowControl w:val="0"/>
              <w:tabs>
                <w:tab w:val="left" w:pos="907"/>
              </w:tabs>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开户银行：中国工商银行东莞市分行</w:t>
            </w:r>
          </w:p>
          <w:p>
            <w:pPr>
              <w:keepNext w:val="0"/>
              <w:keepLines w:val="0"/>
              <w:pageBreakBefore w:val="0"/>
              <w:widowControl w:val="0"/>
              <w:tabs>
                <w:tab w:val="left" w:pos="907"/>
              </w:tabs>
              <w:kinsoku/>
              <w:wordWrap/>
              <w:overflowPunct/>
              <w:topLinePunct w:val="0"/>
              <w:autoSpaceDE/>
              <w:autoSpaceDN/>
              <w:bidi w:val="0"/>
              <w:adjustRightInd/>
              <w:snapToGrid/>
              <w:spacing w:after="0" w:line="3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账　　号：2010021309900018461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820" w:hRule="atLeast"/>
        </w:trPr>
        <w:tc>
          <w:tcPr>
            <w:tcW w:w="8410" w:type="dxa"/>
            <w:gridSpan w:val="5"/>
            <w:vAlign w:val="center"/>
          </w:tcPr>
          <w:p>
            <w:pPr>
              <w:keepNext w:val="0"/>
              <w:keepLines w:val="0"/>
              <w:pageBreakBefore w:val="0"/>
              <w:widowControl w:val="0"/>
              <w:tabs>
                <w:tab w:val="left" w:pos="907"/>
              </w:tabs>
              <w:kinsoku/>
              <w:wordWrap/>
              <w:overflowPunct/>
              <w:topLinePunct w:val="0"/>
              <w:autoSpaceDE/>
              <w:autoSpaceDN/>
              <w:bidi w:val="0"/>
              <w:adjustRightInd/>
              <w:snapToGrid/>
              <w:spacing w:after="0" w:line="300" w:lineRule="exact"/>
              <w:ind w:firstLine="420" w:firstLineChars="200"/>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注：本表关于要采购项目的具体资料，是对投标人须知的具体补充和修改，如有矛盾，应以本资料表为准。</w:t>
            </w:r>
          </w:p>
        </w:tc>
      </w:tr>
    </w:tbl>
    <w:p>
      <w:pPr>
        <w:pageBreakBefore w:val="0"/>
        <w:kinsoku/>
        <w:topLinePunct w:val="0"/>
        <w:autoSpaceDE/>
        <w:autoSpaceDN/>
        <w:bidi w:val="0"/>
        <w:spacing w:line="360" w:lineRule="auto"/>
        <w:jc w:val="center"/>
        <w:rPr>
          <w:color w:val="auto"/>
          <w:highlight w:val="none"/>
        </w:rPr>
      </w:pPr>
      <w:r>
        <w:rPr>
          <w:rFonts w:hint="eastAsia"/>
          <w:color w:val="auto"/>
          <w:highlight w:val="none"/>
        </w:rPr>
        <w:br w:type="page"/>
      </w:r>
    </w:p>
    <w:p>
      <w:pPr>
        <w:pStyle w:val="4"/>
        <w:pageBreakBefore w:val="0"/>
        <w:kinsoku/>
        <w:wordWrap/>
        <w:overflowPunct/>
        <w:topLinePunct w:val="0"/>
        <w:autoSpaceDE/>
        <w:autoSpaceDN/>
        <w:bidi w:val="0"/>
        <w:spacing w:before="0" w:after="0" w:line="360" w:lineRule="auto"/>
        <w:jc w:val="center"/>
        <w:textAlignment w:val="auto"/>
        <w:rPr>
          <w:rFonts w:hint="eastAsia"/>
          <w:color w:val="auto"/>
          <w:sz w:val="28"/>
          <w:szCs w:val="28"/>
          <w:highlight w:val="none"/>
        </w:rPr>
      </w:pPr>
      <w:bookmarkStart w:id="4" w:name="_Toc27394"/>
      <w:r>
        <w:rPr>
          <w:rFonts w:hint="eastAsia" w:ascii="宋体" w:hAnsi="宋体" w:eastAsia="宋体" w:cs="宋体"/>
          <w:color w:val="auto"/>
          <w:sz w:val="24"/>
          <w:szCs w:val="24"/>
          <w:highlight w:val="none"/>
        </w:rPr>
        <w:t>附表二：商务技术评分及价格权重表</w:t>
      </w:r>
      <w:bookmarkEnd w:id="4"/>
    </w:p>
    <w:tbl>
      <w:tblPr>
        <w:tblStyle w:val="1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607"/>
        <w:gridCol w:w="3"/>
        <w:gridCol w:w="734"/>
        <w:gridCol w:w="25"/>
        <w:gridCol w:w="5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宋体" w:eastAsia="宋体" w:cs="宋体"/>
                <w:b/>
                <w:bCs/>
                <w:color w:val="auto"/>
                <w:sz w:val="21"/>
                <w:szCs w:val="21"/>
                <w:highlight w:val="none"/>
              </w:rPr>
            </w:pPr>
            <w:r>
              <w:rPr>
                <w:rFonts w:hint="eastAsia" w:ascii="宋体" w:eastAsia="宋体" w:cs="宋体"/>
                <w:b/>
                <w:bCs/>
                <w:color w:val="auto"/>
                <w:sz w:val="21"/>
                <w:szCs w:val="21"/>
                <w:highlight w:val="none"/>
              </w:rPr>
              <w:t>序号</w:t>
            </w:r>
          </w:p>
        </w:tc>
        <w:tc>
          <w:tcPr>
            <w:tcW w:w="1607" w:type="dxa"/>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宋体" w:eastAsia="宋体" w:cs="宋体"/>
                <w:b/>
                <w:bCs/>
                <w:color w:val="auto"/>
                <w:sz w:val="21"/>
                <w:szCs w:val="21"/>
                <w:highlight w:val="none"/>
              </w:rPr>
            </w:pPr>
            <w:r>
              <w:rPr>
                <w:rFonts w:hint="eastAsia" w:ascii="宋体" w:eastAsia="宋体" w:cs="宋体"/>
                <w:b/>
                <w:bCs/>
                <w:color w:val="auto"/>
                <w:sz w:val="21"/>
                <w:szCs w:val="21"/>
                <w:highlight w:val="none"/>
              </w:rPr>
              <w:t>评审项目</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宋体" w:eastAsia="宋体" w:cs="宋体"/>
                <w:b/>
                <w:bCs/>
                <w:color w:val="auto"/>
                <w:sz w:val="21"/>
                <w:szCs w:val="21"/>
                <w:highlight w:val="none"/>
              </w:rPr>
            </w:pPr>
            <w:r>
              <w:rPr>
                <w:rFonts w:hint="eastAsia" w:ascii="宋体" w:eastAsia="宋体" w:cs="宋体"/>
                <w:b/>
                <w:bCs/>
                <w:color w:val="auto"/>
                <w:sz w:val="21"/>
                <w:szCs w:val="21"/>
                <w:highlight w:val="none"/>
              </w:rPr>
              <w:t>分值</w:t>
            </w:r>
          </w:p>
        </w:tc>
        <w:tc>
          <w:tcPr>
            <w:tcW w:w="5463" w:type="dxa"/>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宋体" w:eastAsia="宋体" w:cs="宋体"/>
                <w:b/>
                <w:bCs/>
                <w:color w:val="auto"/>
                <w:sz w:val="21"/>
                <w:szCs w:val="21"/>
                <w:highlight w:val="none"/>
              </w:rPr>
            </w:pPr>
            <w:r>
              <w:rPr>
                <w:rFonts w:hint="eastAsia" w:ascii="宋体" w:eastAsia="宋体" w:cs="宋体"/>
                <w:b/>
                <w:bCs/>
                <w:color w:val="auto"/>
                <w:sz w:val="21"/>
                <w:szCs w:val="21"/>
                <w:highlight w:val="none"/>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522" w:type="dxa"/>
            <w:gridSpan w:val="6"/>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eastAsia="宋体" w:cs="宋体"/>
                <w:b/>
                <w:bCs/>
                <w:color w:val="auto"/>
                <w:sz w:val="21"/>
                <w:szCs w:val="21"/>
                <w:highlight w:val="none"/>
                <w:lang w:eastAsia="zh-CN"/>
              </w:rPr>
            </w:pPr>
            <w:r>
              <w:rPr>
                <w:rFonts w:hint="eastAsia" w:ascii="宋体" w:eastAsia="宋体" w:cs="宋体"/>
                <w:b/>
                <w:bCs/>
                <w:color w:val="auto"/>
                <w:sz w:val="21"/>
                <w:szCs w:val="21"/>
                <w:highlight w:val="none"/>
              </w:rPr>
              <w:t>商务评审</w:t>
            </w:r>
            <w:r>
              <w:rPr>
                <w:rFonts w:hint="eastAsia" w:ascii="宋体" w:eastAsia="宋体" w:cs="宋体"/>
                <w:b/>
                <w:bCs/>
                <w:color w:val="auto"/>
                <w:sz w:val="21"/>
                <w:szCs w:val="21"/>
                <w:highlight w:val="none"/>
                <w:lang w:eastAsia="zh-CN"/>
              </w:rPr>
              <w:t>（</w:t>
            </w:r>
            <w:r>
              <w:rPr>
                <w:rFonts w:hint="eastAsia" w:ascii="宋体" w:eastAsia="宋体" w:cs="宋体"/>
                <w:b/>
                <w:bCs/>
                <w:color w:val="auto"/>
                <w:sz w:val="21"/>
                <w:szCs w:val="21"/>
                <w:highlight w:val="none"/>
                <w:lang w:val="en-US" w:eastAsia="zh-CN"/>
              </w:rPr>
              <w:t>40分</w:t>
            </w:r>
            <w:r>
              <w:rPr>
                <w:rFonts w:hint="eastAsia" w:ascii="宋体" w:eastAsia="宋体" w:cs="宋体"/>
                <w:b/>
                <w:bCs/>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4" w:hRule="atLeast"/>
          <w:jc w:val="center"/>
        </w:trPr>
        <w:tc>
          <w:tcPr>
            <w:tcW w:w="690" w:type="dxa"/>
            <w:tcBorders>
              <w:top w:val="single" w:color="auto" w:sz="4" w:space="0"/>
              <w:left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宋体" w:eastAsia="宋体" w:cs="宋体"/>
                <w:color w:val="auto"/>
                <w:sz w:val="21"/>
                <w:szCs w:val="21"/>
                <w:highlight w:val="none"/>
              </w:rPr>
            </w:pPr>
            <w:r>
              <w:rPr>
                <w:rFonts w:hint="eastAsia" w:ascii="宋体" w:eastAsia="宋体" w:cs="宋体"/>
                <w:color w:val="auto"/>
                <w:sz w:val="21"/>
                <w:szCs w:val="21"/>
                <w:highlight w:val="none"/>
              </w:rPr>
              <w:t>1</w:t>
            </w:r>
          </w:p>
        </w:tc>
        <w:tc>
          <w:tcPr>
            <w:tcW w:w="1607"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ascii="宋体" w:eastAsia="宋体" w:cs="宋体"/>
                <w:color w:val="auto"/>
                <w:sz w:val="21"/>
                <w:szCs w:val="21"/>
                <w:highlight w:val="none"/>
              </w:rPr>
            </w:pPr>
            <w:r>
              <w:rPr>
                <w:rFonts w:hint="eastAsia" w:ascii="宋体" w:hAnsi="宋体" w:eastAsia="宋体" w:cs="宋体"/>
                <w:b w:val="0"/>
                <w:bCs w:val="0"/>
                <w:color w:val="auto"/>
                <w:sz w:val="21"/>
                <w:szCs w:val="21"/>
                <w:highlight w:val="none"/>
                <w:lang w:val="en-US" w:eastAsia="zh-CN"/>
              </w:rPr>
              <w:t>体系认证</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hint="default" w:asci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w:t>
            </w:r>
          </w:p>
        </w:tc>
        <w:tc>
          <w:tcPr>
            <w:tcW w:w="54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en-US" w:eastAsia="zh-CN"/>
              </w:rPr>
              <w:t>投标人</w:t>
            </w:r>
            <w:r>
              <w:rPr>
                <w:rFonts w:hint="eastAsia" w:ascii="宋体" w:hAnsi="宋体" w:eastAsia="宋体" w:cs="宋体"/>
                <w:bCs/>
                <w:color w:val="auto"/>
                <w:sz w:val="21"/>
                <w:szCs w:val="21"/>
                <w:highlight w:val="none"/>
                <w:lang w:val="zh-CN"/>
              </w:rPr>
              <w:t>具有由国家认监委批准设立的认证机构颁发并在有效期内的质量管理体系认证、环境管理体系认证、职业健康安全管理体系认证，每具有一个得</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lang w:val="zh-CN"/>
              </w:rPr>
              <w:t>分，本项最高得</w:t>
            </w: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注：须提供有效证书复印件并加盖投标人公章，不符合以上要求的不得分。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hint="default"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2</w:t>
            </w:r>
          </w:p>
        </w:tc>
        <w:tc>
          <w:tcPr>
            <w:tcW w:w="16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ascii="宋体" w:eastAsia="宋体" w:cs="宋体"/>
                <w:color w:val="auto"/>
                <w:sz w:val="21"/>
                <w:szCs w:val="21"/>
                <w:highlight w:val="none"/>
              </w:rPr>
            </w:pPr>
            <w:r>
              <w:rPr>
                <w:rFonts w:hint="eastAsia" w:ascii="宋体" w:hAnsi="宋体" w:eastAsia="宋体" w:cs="宋体"/>
                <w:b w:val="0"/>
                <w:bCs w:val="0"/>
                <w:color w:val="auto"/>
                <w:sz w:val="21"/>
                <w:szCs w:val="21"/>
                <w:highlight w:val="none"/>
              </w:rPr>
              <w:t>业绩</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hint="default" w:asci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20</w:t>
            </w:r>
          </w:p>
        </w:tc>
        <w:tc>
          <w:tcPr>
            <w:tcW w:w="54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投标人</w:t>
            </w:r>
            <w:r>
              <w:rPr>
                <w:rFonts w:hint="eastAsia" w:ascii="宋体" w:hAnsi="宋体" w:eastAsia="宋体" w:cs="宋体"/>
                <w:bCs/>
                <w:color w:val="auto"/>
                <w:sz w:val="21"/>
                <w:szCs w:val="21"/>
                <w:highlight w:val="none"/>
                <w:lang w:val="en-US" w:eastAsia="zh-CN"/>
              </w:rPr>
              <w:t>具有</w:t>
            </w:r>
            <w:r>
              <w:rPr>
                <w:rFonts w:hint="eastAsia" w:ascii="宋体" w:hAnsi="宋体" w:eastAsia="宋体" w:cs="宋体"/>
                <w:bCs/>
                <w:color w:val="auto"/>
                <w:sz w:val="21"/>
                <w:szCs w:val="21"/>
                <w:highlight w:val="none"/>
                <w:lang w:val="zh-CN" w:eastAsia="zh-CN"/>
              </w:rPr>
              <w:t>环卫保洁（或</w:t>
            </w:r>
            <w:r>
              <w:rPr>
                <w:rFonts w:hint="eastAsia" w:ascii="宋体" w:hAnsi="宋体" w:eastAsia="宋体" w:cs="宋体"/>
                <w:bCs/>
                <w:color w:val="auto"/>
                <w:sz w:val="21"/>
                <w:szCs w:val="21"/>
                <w:highlight w:val="none"/>
                <w:lang w:val="en-US" w:eastAsia="zh-CN"/>
              </w:rPr>
              <w:t>道路保洁</w:t>
            </w:r>
            <w:r>
              <w:rPr>
                <w:rFonts w:hint="eastAsia" w:ascii="宋体" w:hAnsi="宋体" w:eastAsia="宋体" w:cs="宋体"/>
                <w:bCs/>
                <w:color w:val="auto"/>
                <w:sz w:val="21"/>
                <w:szCs w:val="21"/>
                <w:highlight w:val="none"/>
                <w:lang w:val="zh-CN" w:eastAsia="zh-CN"/>
              </w:rPr>
              <w:t>）</w:t>
            </w:r>
            <w:r>
              <w:rPr>
                <w:rFonts w:hint="eastAsia" w:ascii="宋体" w:hAnsi="宋体" w:eastAsia="宋体" w:cs="宋体"/>
                <w:bCs/>
                <w:color w:val="auto"/>
                <w:sz w:val="21"/>
                <w:szCs w:val="21"/>
                <w:highlight w:val="none"/>
                <w:lang w:val="en-US" w:eastAsia="zh-CN"/>
              </w:rPr>
              <w:t>类项目</w:t>
            </w:r>
            <w:r>
              <w:rPr>
                <w:rFonts w:hint="eastAsia" w:ascii="宋体" w:hAnsi="宋体" w:eastAsia="宋体" w:cs="宋体"/>
                <w:bCs/>
                <w:color w:val="auto"/>
                <w:sz w:val="21"/>
                <w:szCs w:val="21"/>
                <w:highlight w:val="none"/>
                <w:lang w:val="zh-CN"/>
              </w:rPr>
              <w:t>业绩的，每</w:t>
            </w:r>
            <w:r>
              <w:rPr>
                <w:rFonts w:hint="eastAsia" w:ascii="宋体" w:hAnsi="宋体" w:eastAsia="宋体" w:cs="宋体"/>
                <w:bCs/>
                <w:color w:val="auto"/>
                <w:sz w:val="21"/>
                <w:szCs w:val="21"/>
                <w:highlight w:val="none"/>
                <w:lang w:val="en-US" w:eastAsia="zh-CN"/>
              </w:rPr>
              <w:t>具有一个合同业绩得5分</w:t>
            </w:r>
            <w:r>
              <w:rPr>
                <w:rFonts w:hint="eastAsia" w:ascii="宋体" w:hAnsi="宋体" w:eastAsia="宋体" w:cs="宋体"/>
                <w:bCs/>
                <w:color w:val="auto"/>
                <w:sz w:val="21"/>
                <w:szCs w:val="21"/>
                <w:highlight w:val="none"/>
                <w:lang w:val="zh-CN"/>
              </w:rPr>
              <w:t>，本项最高得</w:t>
            </w:r>
            <w:r>
              <w:rPr>
                <w:rFonts w:hint="eastAsia" w:ascii="宋体" w:hAnsi="宋体" w:eastAsia="宋体" w:cs="宋体"/>
                <w:bCs/>
                <w:color w:val="auto"/>
                <w:sz w:val="21"/>
                <w:szCs w:val="21"/>
                <w:highlight w:val="none"/>
                <w:lang w:val="en-US" w:eastAsia="zh-CN"/>
              </w:rPr>
              <w:t>20</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注：须提供合同复印件</w:t>
            </w:r>
            <w:r>
              <w:rPr>
                <w:rFonts w:hint="eastAsia" w:ascii="宋体" w:hAnsi="宋体" w:eastAsia="宋体" w:cs="宋体"/>
                <w:bCs/>
                <w:color w:val="auto"/>
                <w:sz w:val="21"/>
                <w:szCs w:val="21"/>
                <w:highlight w:val="none"/>
                <w:lang w:val="en-US" w:eastAsia="zh-CN"/>
              </w:rPr>
              <w:t>并</w:t>
            </w:r>
            <w:r>
              <w:rPr>
                <w:rFonts w:hint="eastAsia" w:ascii="宋体" w:hAnsi="宋体" w:eastAsia="宋体" w:cs="宋体"/>
                <w:bCs/>
                <w:color w:val="auto"/>
                <w:sz w:val="21"/>
                <w:szCs w:val="21"/>
                <w:highlight w:val="none"/>
                <w:lang w:val="zh-CN"/>
              </w:rPr>
              <w:t>加盖投标人公章，否则不得分。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3</w:t>
            </w:r>
          </w:p>
        </w:tc>
        <w:tc>
          <w:tcPr>
            <w:tcW w:w="16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ascii="宋体" w:eastAsia="宋体" w:cs="宋体"/>
                <w:color w:val="auto"/>
                <w:sz w:val="21"/>
                <w:szCs w:val="21"/>
                <w:highlight w:val="none"/>
              </w:rPr>
            </w:pPr>
            <w:r>
              <w:rPr>
                <w:rFonts w:hint="eastAsia" w:ascii="宋体" w:hAnsi="宋体" w:eastAsia="宋体" w:cs="宋体"/>
                <w:b w:val="0"/>
                <w:bCs w:val="0"/>
                <w:color w:val="auto"/>
                <w:sz w:val="21"/>
                <w:szCs w:val="21"/>
                <w:highlight w:val="none"/>
                <w:lang w:val="en-US" w:eastAsia="zh-CN"/>
              </w:rPr>
              <w:t>企业荣誉</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hint="eastAsia" w:asci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9</w:t>
            </w:r>
          </w:p>
        </w:tc>
        <w:tc>
          <w:tcPr>
            <w:tcW w:w="54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投标人获得过政府部门颁发的“先进”、“优秀”、“文明”等荣誉的，每提供一个得3分，</w:t>
            </w:r>
            <w:r>
              <w:rPr>
                <w:rFonts w:hint="eastAsia" w:ascii="宋体" w:hAnsi="宋体" w:eastAsia="宋体" w:cs="宋体"/>
                <w:bCs/>
                <w:color w:val="auto"/>
                <w:sz w:val="21"/>
                <w:szCs w:val="21"/>
                <w:highlight w:val="none"/>
                <w:lang w:val="zh-CN"/>
              </w:rPr>
              <w:t>本项</w:t>
            </w:r>
            <w:r>
              <w:rPr>
                <w:rFonts w:hint="eastAsia" w:ascii="宋体" w:hAnsi="宋体" w:eastAsia="宋体" w:cs="宋体"/>
                <w:bCs/>
                <w:color w:val="auto"/>
                <w:sz w:val="21"/>
                <w:szCs w:val="21"/>
                <w:highlight w:val="none"/>
                <w:lang w:val="en-US" w:eastAsia="zh-CN"/>
              </w:rPr>
              <w:t>最高得9分。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en-US" w:eastAsia="zh-CN"/>
              </w:rPr>
              <w:t>注：须提供相关荣誉证书复印件或通报文件复印件，并加盖投标人公章，否则不得分。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7"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hint="default"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4</w:t>
            </w:r>
          </w:p>
        </w:tc>
        <w:tc>
          <w:tcPr>
            <w:tcW w:w="16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hint="eastAsia" w:ascii="宋体" w:eastAsia="宋体" w:cs="宋体"/>
                <w:color w:val="auto"/>
                <w:sz w:val="21"/>
                <w:szCs w:val="21"/>
                <w:highlight w:val="none"/>
              </w:rPr>
            </w:pPr>
            <w:r>
              <w:rPr>
                <w:rFonts w:hint="eastAsia" w:ascii="宋体" w:hAnsi="宋体" w:eastAsia="宋体" w:cs="宋体"/>
                <w:b w:val="0"/>
                <w:bCs w:val="0"/>
                <w:color w:val="auto"/>
                <w:sz w:val="21"/>
                <w:szCs w:val="21"/>
                <w:highlight w:val="none"/>
              </w:rPr>
              <w:t>服务响应时间</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hint="eastAsia" w:asci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w:t>
            </w:r>
          </w:p>
        </w:tc>
        <w:tc>
          <w:tcPr>
            <w:tcW w:w="54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eastAsia="zh-CN"/>
              </w:rPr>
            </w:pPr>
            <w:r>
              <w:rPr>
                <w:rFonts w:hint="eastAsia" w:ascii="宋体" w:hAnsi="宋体" w:eastAsia="宋体" w:cs="宋体"/>
                <w:bCs/>
                <w:color w:val="auto"/>
                <w:sz w:val="21"/>
                <w:szCs w:val="21"/>
                <w:highlight w:val="none"/>
                <w:lang w:val="zh-CN"/>
              </w:rPr>
              <w:t>根据投标人提供的服务响应时间承诺进行</w:t>
            </w:r>
            <w:r>
              <w:rPr>
                <w:rFonts w:hint="eastAsia" w:ascii="宋体" w:hAnsi="宋体" w:eastAsia="宋体" w:cs="宋体"/>
                <w:bCs/>
                <w:color w:val="auto"/>
                <w:sz w:val="21"/>
                <w:szCs w:val="21"/>
                <w:highlight w:val="none"/>
                <w:lang w:val="en-US" w:eastAsia="zh-CN"/>
              </w:rPr>
              <w:t>评审：</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承诺在接到采购人通知后1小时内到现场</w:t>
            </w:r>
            <w:r>
              <w:rPr>
                <w:rFonts w:hint="eastAsia" w:ascii="宋体" w:hAnsi="宋体" w:eastAsia="宋体" w:cs="宋体"/>
                <w:bCs/>
                <w:color w:val="auto"/>
                <w:sz w:val="21"/>
                <w:szCs w:val="21"/>
                <w:highlight w:val="none"/>
                <w:lang w:val="en-US" w:eastAsia="zh-CN"/>
              </w:rPr>
              <w:t>的</w:t>
            </w:r>
            <w:r>
              <w:rPr>
                <w:rFonts w:hint="eastAsia" w:ascii="宋体" w:hAnsi="宋体" w:eastAsia="宋体" w:cs="宋体"/>
                <w:bCs/>
                <w:color w:val="auto"/>
                <w:sz w:val="21"/>
                <w:szCs w:val="21"/>
                <w:highlight w:val="none"/>
                <w:lang w:val="zh-CN"/>
              </w:rPr>
              <w:t>，得</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承诺在接到采购人通知后2小时内到现场</w:t>
            </w:r>
            <w:r>
              <w:rPr>
                <w:rFonts w:hint="eastAsia" w:ascii="宋体" w:hAnsi="宋体" w:eastAsia="宋体" w:cs="宋体"/>
                <w:bCs/>
                <w:color w:val="auto"/>
                <w:sz w:val="21"/>
                <w:szCs w:val="21"/>
                <w:highlight w:val="none"/>
                <w:lang w:val="en-US" w:eastAsia="zh-CN"/>
              </w:rPr>
              <w:t>的</w:t>
            </w:r>
            <w:r>
              <w:rPr>
                <w:rFonts w:hint="eastAsia" w:ascii="宋体" w:hAnsi="宋体" w:eastAsia="宋体" w:cs="宋体"/>
                <w:bCs/>
                <w:color w:val="auto"/>
                <w:sz w:val="21"/>
                <w:szCs w:val="21"/>
                <w:highlight w:val="none"/>
                <w:lang w:val="zh-CN"/>
              </w:rPr>
              <w:t>，得</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承诺在接到采购人通知后3小时内到现场</w:t>
            </w:r>
            <w:r>
              <w:rPr>
                <w:rFonts w:hint="eastAsia" w:ascii="宋体" w:hAnsi="宋体" w:eastAsia="宋体" w:cs="宋体"/>
                <w:bCs/>
                <w:color w:val="auto"/>
                <w:sz w:val="21"/>
                <w:szCs w:val="21"/>
                <w:highlight w:val="none"/>
                <w:lang w:val="en-US" w:eastAsia="zh-CN"/>
              </w:rPr>
              <w:t>的</w:t>
            </w:r>
            <w:r>
              <w:rPr>
                <w:rFonts w:hint="eastAsia" w:ascii="宋体" w:hAnsi="宋体" w:eastAsia="宋体" w:cs="宋体"/>
                <w:bCs/>
                <w:color w:val="auto"/>
                <w:sz w:val="21"/>
                <w:szCs w:val="21"/>
                <w:highlight w:val="none"/>
                <w:lang w:val="zh-CN"/>
              </w:rPr>
              <w:t>，得</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en-US" w:eastAsia="zh-CN"/>
              </w:rPr>
              <w:t>未承诺或</w:t>
            </w:r>
            <w:r>
              <w:rPr>
                <w:rFonts w:hint="eastAsia" w:ascii="宋体" w:hAnsi="宋体" w:eastAsia="宋体" w:cs="宋体"/>
                <w:bCs/>
                <w:color w:val="auto"/>
                <w:sz w:val="21"/>
                <w:szCs w:val="21"/>
                <w:highlight w:val="none"/>
                <w:lang w:val="zh-CN"/>
              </w:rPr>
              <w:t>承诺在接到采购人通知后超过3小时到现场</w:t>
            </w:r>
            <w:r>
              <w:rPr>
                <w:rFonts w:hint="eastAsia" w:ascii="宋体" w:hAnsi="宋体" w:eastAsia="宋体" w:cs="宋体"/>
                <w:bCs/>
                <w:color w:val="auto"/>
                <w:sz w:val="21"/>
                <w:szCs w:val="21"/>
                <w:highlight w:val="none"/>
                <w:lang w:val="en-US" w:eastAsia="zh-CN"/>
              </w:rPr>
              <w:t>的</w:t>
            </w:r>
            <w:r>
              <w:rPr>
                <w:rFonts w:hint="eastAsia" w:ascii="宋体" w:hAnsi="宋体" w:eastAsia="宋体" w:cs="宋体"/>
                <w:bCs/>
                <w:color w:val="auto"/>
                <w:sz w:val="21"/>
                <w:szCs w:val="21"/>
                <w:highlight w:val="none"/>
                <w:lang w:val="zh-CN"/>
              </w:rPr>
              <w:t>，</w:t>
            </w:r>
            <w:r>
              <w:rPr>
                <w:rFonts w:hint="eastAsia" w:ascii="宋体" w:hAnsi="宋体" w:eastAsia="宋体" w:cs="宋体"/>
                <w:bCs/>
                <w:color w:val="auto"/>
                <w:sz w:val="21"/>
                <w:szCs w:val="21"/>
                <w:highlight w:val="none"/>
                <w:lang w:val="en-US" w:eastAsia="zh-CN"/>
              </w:rPr>
              <w:t>不得分</w:t>
            </w:r>
            <w:r>
              <w:rPr>
                <w:rFonts w:hint="eastAsia" w:ascii="宋体" w:hAnsi="宋体" w:eastAsia="宋体" w:cs="宋体"/>
                <w:bCs/>
                <w:color w:val="auto"/>
                <w:sz w:val="21"/>
                <w:szCs w:val="21"/>
                <w:highlight w:val="none"/>
                <w:lang w:val="zh-CN"/>
              </w:rPr>
              <w:t>。</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zh-CN"/>
              </w:rPr>
              <w:t>注：</w:t>
            </w:r>
            <w:r>
              <w:rPr>
                <w:rFonts w:hint="eastAsia" w:ascii="宋体" w:hAnsi="宋体" w:eastAsia="宋体" w:cs="宋体"/>
                <w:bCs/>
                <w:color w:val="auto"/>
                <w:sz w:val="21"/>
                <w:szCs w:val="21"/>
                <w:highlight w:val="none"/>
                <w:lang w:val="en-US" w:eastAsia="zh-CN"/>
              </w:rPr>
              <w:t>须</w:t>
            </w:r>
            <w:r>
              <w:rPr>
                <w:rFonts w:hint="eastAsia" w:ascii="宋体" w:hAnsi="宋体" w:eastAsia="宋体" w:cs="宋体"/>
                <w:bCs/>
                <w:color w:val="auto"/>
                <w:sz w:val="21"/>
                <w:szCs w:val="21"/>
                <w:highlight w:val="none"/>
                <w:lang w:val="zh-CN"/>
              </w:rPr>
              <w:t>提供单独服务承诺书，并加盖投标人公章。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22" w:type="dxa"/>
            <w:gridSpan w:val="6"/>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eastAsia="宋体" w:cs="宋体"/>
                <w:color w:val="auto"/>
                <w:sz w:val="21"/>
                <w:szCs w:val="21"/>
                <w:highlight w:val="none"/>
                <w:lang w:eastAsia="zh-CN"/>
              </w:rPr>
            </w:pPr>
            <w:r>
              <w:rPr>
                <w:rFonts w:hint="eastAsia" w:ascii="宋体" w:eastAsia="宋体" w:cs="宋体"/>
                <w:b/>
                <w:bCs/>
                <w:color w:val="auto"/>
                <w:sz w:val="21"/>
                <w:szCs w:val="21"/>
                <w:highlight w:val="none"/>
              </w:rPr>
              <w:t>技术评审</w:t>
            </w:r>
            <w:r>
              <w:rPr>
                <w:rFonts w:hint="eastAsia" w:ascii="宋体" w:eastAsia="宋体" w:cs="宋体"/>
                <w:b/>
                <w:bCs/>
                <w:color w:val="auto"/>
                <w:sz w:val="21"/>
                <w:szCs w:val="21"/>
                <w:highlight w:val="none"/>
                <w:lang w:eastAsia="zh-CN"/>
              </w:rPr>
              <w:t>（</w:t>
            </w:r>
            <w:r>
              <w:rPr>
                <w:rFonts w:hint="eastAsia" w:ascii="宋体" w:eastAsia="宋体" w:cs="宋体"/>
                <w:b/>
                <w:bCs/>
                <w:color w:val="auto"/>
                <w:sz w:val="21"/>
                <w:szCs w:val="21"/>
                <w:highlight w:val="none"/>
                <w:lang w:val="en-US" w:eastAsia="zh-CN"/>
              </w:rPr>
              <w:t>60分</w:t>
            </w:r>
            <w:r>
              <w:rPr>
                <w:rFonts w:hint="eastAsia" w:ascii="宋体" w:eastAsia="宋体" w:cs="宋体"/>
                <w:b/>
                <w:bCs/>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1</w:t>
            </w:r>
          </w:p>
        </w:tc>
        <w:tc>
          <w:tcPr>
            <w:tcW w:w="16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对项目的理解</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1</w:t>
            </w:r>
            <w:r>
              <w:rPr>
                <w:rFonts w:hint="eastAsia" w:ascii="宋体" w:hAnsi="宋体" w:eastAsia="宋体" w:cs="宋体"/>
                <w:b w:val="0"/>
                <w:bCs w:val="0"/>
                <w:color w:val="auto"/>
                <w:sz w:val="21"/>
                <w:szCs w:val="21"/>
                <w:highlight w:val="none"/>
                <w:lang w:val="en-US" w:eastAsia="zh-CN"/>
              </w:rPr>
              <w:t>0</w:t>
            </w:r>
          </w:p>
        </w:tc>
        <w:tc>
          <w:tcPr>
            <w:tcW w:w="54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 xml:space="preserve">根据投标人对项目现状的认识，基础资料调查，重点难点分析等情况进行综合评审： </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项目现状认识深刻，基础资料调查非常完整，重点难点分析到位</w:t>
            </w:r>
            <w:r>
              <w:rPr>
                <w:rFonts w:hint="eastAsia" w:ascii="宋体" w:hAnsi="宋体" w:eastAsia="宋体" w:cs="宋体"/>
                <w:bCs/>
                <w:color w:val="auto"/>
                <w:sz w:val="21"/>
                <w:szCs w:val="21"/>
                <w:highlight w:val="none"/>
                <w:lang w:val="en-US" w:eastAsia="zh-CN"/>
              </w:rPr>
              <w:t>的</w:t>
            </w:r>
            <w:r>
              <w:rPr>
                <w:rFonts w:hint="eastAsia" w:ascii="宋体" w:hAnsi="宋体" w:eastAsia="宋体" w:cs="宋体"/>
                <w:bCs/>
                <w:color w:val="auto"/>
                <w:sz w:val="21"/>
                <w:szCs w:val="21"/>
                <w:highlight w:val="none"/>
                <w:lang w:val="zh-CN"/>
              </w:rPr>
              <w:t>，得</w:t>
            </w:r>
            <w:r>
              <w:rPr>
                <w:rFonts w:hint="eastAsia" w:ascii="宋体" w:hAnsi="宋体" w:eastAsia="宋体" w:cs="宋体"/>
                <w:bCs/>
                <w:color w:val="auto"/>
                <w:sz w:val="21"/>
                <w:szCs w:val="21"/>
                <w:highlight w:val="none"/>
                <w:lang w:val="en-US" w:eastAsia="zh-CN"/>
              </w:rPr>
              <w:t>10</w:t>
            </w:r>
            <w:r>
              <w:rPr>
                <w:rFonts w:hint="eastAsia" w:ascii="宋体" w:hAnsi="宋体" w:eastAsia="宋体" w:cs="宋体"/>
                <w:bCs/>
                <w:color w:val="auto"/>
                <w:sz w:val="21"/>
                <w:szCs w:val="21"/>
                <w:highlight w:val="none"/>
                <w:lang w:val="zh-CN"/>
              </w:rPr>
              <w:t xml:space="preserve">分； </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项目现状认识较为深刻，基础资料调查较为完整，重点难点分析比较到位</w:t>
            </w:r>
            <w:r>
              <w:rPr>
                <w:rFonts w:hint="eastAsia" w:ascii="宋体" w:hAnsi="宋体" w:eastAsia="宋体" w:cs="宋体"/>
                <w:bCs/>
                <w:color w:val="auto"/>
                <w:sz w:val="21"/>
                <w:szCs w:val="21"/>
                <w:highlight w:val="none"/>
                <w:lang w:val="en-US" w:eastAsia="zh-CN"/>
              </w:rPr>
              <w:t>的</w:t>
            </w:r>
            <w:r>
              <w:rPr>
                <w:rFonts w:hint="eastAsia" w:ascii="宋体" w:hAnsi="宋体" w:eastAsia="宋体" w:cs="宋体"/>
                <w:bCs/>
                <w:color w:val="auto"/>
                <w:sz w:val="21"/>
                <w:szCs w:val="21"/>
                <w:highlight w:val="none"/>
                <w:lang w:val="zh-CN"/>
              </w:rPr>
              <w:t>，得</w:t>
            </w: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lang w:val="zh-CN"/>
              </w:rPr>
              <w:t xml:space="preserve">分； </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项目现状认识一般，基础资料调查一般完整，重点难点分析一般</w:t>
            </w:r>
            <w:r>
              <w:rPr>
                <w:rFonts w:hint="eastAsia" w:ascii="宋体" w:hAnsi="宋体" w:eastAsia="宋体" w:cs="宋体"/>
                <w:bCs/>
                <w:color w:val="auto"/>
                <w:sz w:val="21"/>
                <w:szCs w:val="21"/>
                <w:highlight w:val="none"/>
                <w:lang w:val="en-US" w:eastAsia="zh-CN"/>
              </w:rPr>
              <w:t>的</w:t>
            </w:r>
            <w:r>
              <w:rPr>
                <w:rFonts w:hint="eastAsia" w:ascii="宋体" w:hAnsi="宋体" w:eastAsia="宋体" w:cs="宋体"/>
                <w:bCs/>
                <w:color w:val="auto"/>
                <w:sz w:val="21"/>
                <w:szCs w:val="21"/>
                <w:highlight w:val="none"/>
                <w:lang w:val="zh-CN"/>
              </w:rPr>
              <w:t>，得</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lang w:val="zh-CN"/>
              </w:rPr>
              <w:t xml:space="preserve">分； </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项目现状认识偏弱，基础资料调查不太完整，重点难点分析不到位</w:t>
            </w:r>
            <w:r>
              <w:rPr>
                <w:rFonts w:hint="eastAsia" w:ascii="宋体" w:hAnsi="宋体" w:eastAsia="宋体" w:cs="宋体"/>
                <w:bCs/>
                <w:color w:val="auto"/>
                <w:sz w:val="21"/>
                <w:szCs w:val="21"/>
                <w:highlight w:val="none"/>
                <w:lang w:val="en-US" w:eastAsia="zh-CN"/>
              </w:rPr>
              <w:t>的</w:t>
            </w:r>
            <w:r>
              <w:rPr>
                <w:rFonts w:hint="eastAsia" w:ascii="宋体" w:hAnsi="宋体" w:eastAsia="宋体" w:cs="宋体"/>
                <w:bCs/>
                <w:color w:val="auto"/>
                <w:sz w:val="21"/>
                <w:szCs w:val="21"/>
                <w:highlight w:val="none"/>
                <w:lang w:val="zh-CN"/>
              </w:rPr>
              <w:t xml:space="preserve">，得1分； </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en-US" w:eastAsia="zh-CN"/>
              </w:rPr>
              <w:t>无</w:t>
            </w:r>
            <w:r>
              <w:rPr>
                <w:rFonts w:hint="eastAsia" w:ascii="宋体" w:hAnsi="宋体" w:eastAsia="宋体" w:cs="宋体"/>
                <w:bCs/>
                <w:color w:val="auto"/>
                <w:sz w:val="21"/>
                <w:szCs w:val="21"/>
                <w:highlight w:val="none"/>
                <w:lang w:val="zh-CN"/>
              </w:rPr>
              <w:t>提供</w:t>
            </w:r>
            <w:r>
              <w:rPr>
                <w:rFonts w:hint="eastAsia" w:ascii="宋体" w:hAnsi="宋体" w:eastAsia="宋体" w:cs="宋体"/>
                <w:bCs/>
                <w:color w:val="auto"/>
                <w:sz w:val="21"/>
                <w:szCs w:val="21"/>
                <w:highlight w:val="none"/>
                <w:lang w:val="en-US" w:eastAsia="zh-CN"/>
              </w:rPr>
              <w:t>方案</w:t>
            </w:r>
            <w:r>
              <w:rPr>
                <w:rFonts w:hint="eastAsia" w:ascii="宋体" w:hAnsi="宋体" w:eastAsia="宋体" w:cs="宋体"/>
                <w:bCs/>
                <w:color w:val="auto"/>
                <w:sz w:val="21"/>
                <w:szCs w:val="21"/>
                <w:highlight w:val="none"/>
                <w:lang w:val="zh-CN"/>
              </w:rPr>
              <w:t xml:space="preserve">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3"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2</w:t>
            </w:r>
          </w:p>
        </w:tc>
        <w:tc>
          <w:tcPr>
            <w:tcW w:w="16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项目实施方案</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15</w:t>
            </w:r>
          </w:p>
        </w:tc>
        <w:tc>
          <w:tcPr>
            <w:tcW w:w="54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根据投标人针对本项目作出的项目实施方案是否具有针对性、可行性、科学性等进行综合评审：</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方案完善具体、针对性强、可行性强、科学合理的，得</w:t>
            </w:r>
            <w:r>
              <w:rPr>
                <w:rFonts w:hint="eastAsia" w:ascii="宋体" w:hAnsi="宋体" w:eastAsia="宋体" w:cs="宋体"/>
                <w:bCs/>
                <w:color w:val="auto"/>
                <w:sz w:val="21"/>
                <w:szCs w:val="21"/>
                <w:highlight w:val="none"/>
                <w:lang w:val="en-US" w:eastAsia="zh-CN"/>
              </w:rPr>
              <w:t>15</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方案比较完善、针对性较强、可行性较强、较合理的，得</w:t>
            </w:r>
            <w:r>
              <w:rPr>
                <w:rFonts w:hint="eastAsia" w:ascii="宋体" w:hAnsi="宋体" w:eastAsia="宋体" w:cs="宋体"/>
                <w:bCs/>
                <w:color w:val="auto"/>
                <w:sz w:val="21"/>
                <w:szCs w:val="21"/>
                <w:highlight w:val="none"/>
                <w:lang w:val="en-US" w:eastAsia="zh-CN"/>
              </w:rPr>
              <w:t>10</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方案不够具体、针对性一般、可行性一般、合理的，得</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方案简单，针对性差，可行性差的，得1分。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en-US" w:eastAsia="zh-CN"/>
              </w:rPr>
              <w:t>无</w:t>
            </w:r>
            <w:r>
              <w:rPr>
                <w:rFonts w:hint="eastAsia" w:ascii="宋体" w:hAnsi="宋体" w:eastAsia="宋体" w:cs="宋体"/>
                <w:bCs/>
                <w:color w:val="auto"/>
                <w:sz w:val="21"/>
                <w:szCs w:val="21"/>
                <w:highlight w:val="none"/>
                <w:lang w:val="zh-CN"/>
              </w:rPr>
              <w:t>提供</w:t>
            </w:r>
            <w:r>
              <w:rPr>
                <w:rFonts w:hint="eastAsia" w:ascii="宋体" w:hAnsi="宋体" w:eastAsia="宋体" w:cs="宋体"/>
                <w:bCs/>
                <w:color w:val="auto"/>
                <w:sz w:val="21"/>
                <w:szCs w:val="21"/>
                <w:highlight w:val="none"/>
                <w:lang w:val="en-US" w:eastAsia="zh-CN"/>
              </w:rPr>
              <w:t>方案</w:t>
            </w:r>
            <w:r>
              <w:rPr>
                <w:rFonts w:hint="eastAsia" w:ascii="宋体" w:hAnsi="宋体" w:eastAsia="宋体" w:cs="宋体"/>
                <w:bCs/>
                <w:color w:val="auto"/>
                <w:sz w:val="21"/>
                <w:szCs w:val="21"/>
                <w:highlight w:val="none"/>
                <w:lang w:val="zh-CN"/>
              </w:rPr>
              <w:t xml:space="preserve">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3</w:t>
            </w:r>
          </w:p>
        </w:tc>
        <w:tc>
          <w:tcPr>
            <w:tcW w:w="16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hint="eastAsia" w:ascii="宋体" w:hAnsi="宋体" w:eastAsia="宋体" w:cs="宋体"/>
                <w:b w:val="0"/>
                <w:bCs w:val="0"/>
                <w:color w:val="auto"/>
                <w:sz w:val="21"/>
                <w:szCs w:val="21"/>
                <w:highlight w:val="none"/>
              </w:rPr>
            </w:pPr>
          </w:p>
          <w:p>
            <w:pPr>
              <w:keepNext w:val="0"/>
              <w:keepLines w:val="0"/>
              <w:pageBreakBefore w:val="0"/>
              <w:kinsoku/>
              <w:wordWrap/>
              <w:overflowPunct/>
              <w:topLinePunct w:val="0"/>
              <w:bidi w:val="0"/>
              <w:adjustRightInd/>
              <w:snapToGrid/>
              <w:spacing w:after="0" w:line="360" w:lineRule="auto"/>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质量及安全保证措施</w:t>
            </w:r>
          </w:p>
          <w:p>
            <w:pPr>
              <w:keepNext w:val="0"/>
              <w:keepLines w:val="0"/>
              <w:pageBreakBefore w:val="0"/>
              <w:kinsoku/>
              <w:wordWrap/>
              <w:overflowPunct/>
              <w:topLinePunct w:val="0"/>
              <w:bidi w:val="0"/>
              <w:adjustRightInd/>
              <w:snapToGrid/>
              <w:spacing w:after="0" w:line="360" w:lineRule="auto"/>
              <w:jc w:val="center"/>
              <w:textAlignment w:val="auto"/>
              <w:rPr>
                <w:rFonts w:hint="eastAsia" w:ascii="宋体" w:hAnsi="宋体" w:eastAsia="宋体" w:cs="宋体"/>
                <w:b w:val="0"/>
                <w:bCs w:val="0"/>
                <w:color w:val="auto"/>
                <w:sz w:val="21"/>
                <w:szCs w:val="21"/>
                <w:highlight w:val="none"/>
              </w:rPr>
            </w:pPr>
          </w:p>
        </w:tc>
        <w:tc>
          <w:tcPr>
            <w:tcW w:w="76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hint="default" w:ascii="宋体" w:hAnsi="宋体" w:eastAsia="宋体" w:cs="宋体"/>
                <w:b w:val="0"/>
                <w:bCs w:val="0"/>
                <w:color w:val="auto"/>
                <w:sz w:val="21"/>
                <w:szCs w:val="21"/>
                <w:highlight w:val="none"/>
                <w:lang w:val="en-US"/>
              </w:rPr>
            </w:pPr>
            <w:r>
              <w:rPr>
                <w:rFonts w:hint="eastAsia" w:ascii="宋体" w:hAnsi="宋体" w:eastAsia="宋体" w:cs="宋体"/>
                <w:b w:val="0"/>
                <w:bCs w:val="0"/>
                <w:color w:val="auto"/>
                <w:sz w:val="21"/>
                <w:szCs w:val="21"/>
                <w:highlight w:val="none"/>
                <w:lang w:val="en-US" w:eastAsia="zh-CN"/>
              </w:rPr>
              <w:t>13</w:t>
            </w:r>
          </w:p>
        </w:tc>
        <w:tc>
          <w:tcPr>
            <w:tcW w:w="54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根据投标人对本项目的要求，提供项目质量及安全保证措施等方案进行综合评审：</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质量及安全保证措施非常明确可行、保证措施方案非常详细的，得</w:t>
            </w:r>
            <w:r>
              <w:rPr>
                <w:rFonts w:hint="eastAsia" w:ascii="宋体" w:hAnsi="宋体" w:eastAsia="宋体" w:cs="宋体"/>
                <w:bCs/>
                <w:color w:val="auto"/>
                <w:sz w:val="21"/>
                <w:szCs w:val="21"/>
                <w:highlight w:val="none"/>
                <w:lang w:val="en-US" w:eastAsia="zh-CN"/>
              </w:rPr>
              <w:t>13</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质量及安全保证措施比较明确可行、保证措施方案比较详细的，得</w:t>
            </w:r>
            <w:r>
              <w:rPr>
                <w:rFonts w:hint="eastAsia" w:ascii="宋体" w:hAnsi="宋体" w:eastAsia="宋体" w:cs="宋体"/>
                <w:bCs/>
                <w:color w:val="auto"/>
                <w:sz w:val="21"/>
                <w:szCs w:val="21"/>
                <w:highlight w:val="none"/>
                <w:lang w:val="en-US" w:eastAsia="zh-CN"/>
              </w:rPr>
              <w:t>8</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质量及安全保证措施一般、保证措施方案一般的，得</w:t>
            </w: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质量及安全保证措施不明确、可行性差、内容简单的，得1分。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en-US" w:eastAsia="zh-CN"/>
              </w:rPr>
              <w:t>无</w:t>
            </w:r>
            <w:r>
              <w:rPr>
                <w:rFonts w:hint="eastAsia" w:ascii="宋体" w:hAnsi="宋体" w:eastAsia="宋体" w:cs="宋体"/>
                <w:bCs/>
                <w:color w:val="auto"/>
                <w:sz w:val="21"/>
                <w:szCs w:val="21"/>
                <w:highlight w:val="none"/>
                <w:lang w:val="zh-CN"/>
              </w:rPr>
              <w:t>提供</w:t>
            </w:r>
            <w:r>
              <w:rPr>
                <w:rFonts w:hint="eastAsia" w:ascii="宋体" w:hAnsi="宋体" w:eastAsia="宋体" w:cs="宋体"/>
                <w:bCs/>
                <w:color w:val="auto"/>
                <w:sz w:val="21"/>
                <w:szCs w:val="21"/>
                <w:highlight w:val="none"/>
                <w:lang w:val="en-US" w:eastAsia="zh-CN"/>
              </w:rPr>
              <w:t>方案</w:t>
            </w:r>
            <w:r>
              <w:rPr>
                <w:rFonts w:hint="eastAsia" w:ascii="宋体" w:hAnsi="宋体" w:eastAsia="宋体" w:cs="宋体"/>
                <w:bCs/>
                <w:color w:val="auto"/>
                <w:sz w:val="21"/>
                <w:szCs w:val="21"/>
                <w:highlight w:val="none"/>
                <w:lang w:val="zh-CN"/>
              </w:rPr>
              <w:t xml:space="preserve">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8"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hint="default"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4</w:t>
            </w:r>
          </w:p>
        </w:tc>
        <w:tc>
          <w:tcPr>
            <w:tcW w:w="16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服务自律承诺</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1</w:t>
            </w:r>
            <w:r>
              <w:rPr>
                <w:rFonts w:hint="eastAsia" w:ascii="宋体" w:hAnsi="宋体" w:eastAsia="宋体" w:cs="宋体"/>
                <w:b w:val="0"/>
                <w:bCs w:val="0"/>
                <w:color w:val="auto"/>
                <w:sz w:val="21"/>
                <w:szCs w:val="21"/>
                <w:highlight w:val="none"/>
                <w:lang w:val="en-US" w:eastAsia="zh-CN"/>
              </w:rPr>
              <w:t>0</w:t>
            </w:r>
          </w:p>
        </w:tc>
        <w:tc>
          <w:tcPr>
            <w:tcW w:w="54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根据投标人对本项目能够承诺保证有足够的人力、设备及作出违约责任的内容进行综合评审：</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提供优质服务，作出违约责任等承诺具体可行、非常详细的，得1</w:t>
            </w:r>
            <w:r>
              <w:rPr>
                <w:rFonts w:hint="eastAsia" w:ascii="宋体" w:hAnsi="宋体" w:eastAsia="宋体" w:cs="宋体"/>
                <w:bCs/>
                <w:color w:val="auto"/>
                <w:sz w:val="21"/>
                <w:szCs w:val="21"/>
                <w:highlight w:val="none"/>
                <w:lang w:val="en-US" w:eastAsia="zh-CN"/>
              </w:rPr>
              <w:t>0</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提供较良服务，作出违约责任等承诺的比较可行性、比较详细的，得</w:t>
            </w: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提供较良服务，作出违约责任等承诺的可行性一般的，得</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提供较差服务，作出违约责任等承诺的可行性差、内容简单的，得1分。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无提供不得分。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2"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hint="default"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5</w:t>
            </w:r>
          </w:p>
        </w:tc>
        <w:tc>
          <w:tcPr>
            <w:tcW w:w="16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hint="eastAsia" w:ascii="宋体" w:hAnsi="宋体" w:eastAsia="宋体" w:cs="宋体"/>
                <w:b w:val="0"/>
                <w:bCs w:val="0"/>
                <w:color w:val="auto"/>
                <w:sz w:val="21"/>
                <w:szCs w:val="21"/>
                <w:highlight w:val="none"/>
              </w:rPr>
            </w:pPr>
          </w:p>
          <w:p>
            <w:pPr>
              <w:keepNext w:val="0"/>
              <w:keepLines w:val="0"/>
              <w:pageBreakBefore w:val="0"/>
              <w:kinsoku/>
              <w:wordWrap/>
              <w:overflowPunct/>
              <w:topLinePunct w:val="0"/>
              <w:bidi w:val="0"/>
              <w:adjustRightInd/>
              <w:snapToGrid/>
              <w:spacing w:after="0" w:line="360" w:lineRule="auto"/>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应急方案</w:t>
            </w:r>
          </w:p>
          <w:p>
            <w:pPr>
              <w:keepNext w:val="0"/>
              <w:keepLines w:val="0"/>
              <w:pageBreakBefore w:val="0"/>
              <w:kinsoku/>
              <w:wordWrap/>
              <w:overflowPunct/>
              <w:topLinePunct w:val="0"/>
              <w:bidi w:val="0"/>
              <w:adjustRightInd/>
              <w:snapToGrid/>
              <w:spacing w:after="0" w:line="360" w:lineRule="auto"/>
              <w:jc w:val="center"/>
              <w:textAlignment w:val="auto"/>
              <w:rPr>
                <w:rFonts w:hint="eastAsia" w:ascii="宋体" w:hAnsi="宋体" w:eastAsia="宋体" w:cs="宋体"/>
                <w:b w:val="0"/>
                <w:bCs w:val="0"/>
                <w:color w:val="auto"/>
                <w:sz w:val="21"/>
                <w:szCs w:val="21"/>
                <w:highlight w:val="none"/>
              </w:rPr>
            </w:pPr>
          </w:p>
        </w:tc>
        <w:tc>
          <w:tcPr>
            <w:tcW w:w="76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after="0" w:line="360" w:lineRule="auto"/>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w:t>
            </w:r>
            <w:r>
              <w:rPr>
                <w:rFonts w:hint="eastAsia" w:ascii="宋体" w:hAnsi="宋体" w:eastAsia="宋体" w:cs="宋体"/>
                <w:b w:val="0"/>
                <w:bCs w:val="0"/>
                <w:color w:val="auto"/>
                <w:sz w:val="21"/>
                <w:szCs w:val="21"/>
                <w:highlight w:val="none"/>
                <w:lang w:val="en-US" w:eastAsia="zh-CN"/>
              </w:rPr>
              <w:t>2</w:t>
            </w:r>
          </w:p>
        </w:tc>
        <w:tc>
          <w:tcPr>
            <w:tcW w:w="54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根据投标人</w:t>
            </w:r>
            <w:r>
              <w:rPr>
                <w:rFonts w:hint="eastAsia" w:ascii="宋体" w:hAnsi="宋体" w:eastAsia="宋体" w:cs="宋体"/>
                <w:bCs/>
                <w:color w:val="auto"/>
                <w:sz w:val="21"/>
                <w:szCs w:val="21"/>
                <w:highlight w:val="none"/>
                <w:lang w:val="zh-CN"/>
              </w:rPr>
              <w:t>针对台风、暴雨等天气影响，重大接待任务，重大节假日或活动等特殊情况制定应急处置方案，包括传达机制、人员和设备调配、责任分工等</w:t>
            </w:r>
            <w:r>
              <w:rPr>
                <w:rFonts w:hint="eastAsia" w:ascii="宋体" w:hAnsi="宋体" w:eastAsia="宋体" w:cs="宋体"/>
                <w:bCs/>
                <w:color w:val="auto"/>
                <w:sz w:val="21"/>
                <w:szCs w:val="21"/>
                <w:highlight w:val="none"/>
                <w:lang w:val="en-US" w:eastAsia="zh-CN"/>
              </w:rPr>
              <w:t>进行综合评审：</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应急方案科学合理，能针对上述情况提出具体方案，可操作性强，得1</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应急方案较合理，能针对上述情况提出较具体方案，可操作性较强，得</w:t>
            </w:r>
            <w:r>
              <w:rPr>
                <w:rFonts w:hint="eastAsia" w:ascii="宋体" w:hAnsi="宋体" w:eastAsia="宋体" w:cs="宋体"/>
                <w:bCs/>
                <w:color w:val="auto"/>
                <w:sz w:val="21"/>
                <w:szCs w:val="21"/>
                <w:highlight w:val="none"/>
                <w:lang w:val="en-US" w:eastAsia="zh-CN"/>
              </w:rPr>
              <w:t>8</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应急方案基本完整，能针对上述情况提出简单方案，可操作性一般，得</w:t>
            </w: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lang w:val="zh-CN"/>
              </w:rPr>
              <w:t>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应急方案简单，不能应对上述情况，得1分。</w:t>
            </w:r>
          </w:p>
          <w:p>
            <w:pPr>
              <w:keepNext w:val="0"/>
              <w:keepLines w:val="0"/>
              <w:pageBreakBefore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en-US" w:eastAsia="zh-CN"/>
              </w:rPr>
              <w:t>无</w:t>
            </w:r>
            <w:r>
              <w:rPr>
                <w:rFonts w:hint="eastAsia" w:ascii="宋体" w:hAnsi="宋体" w:eastAsia="宋体" w:cs="宋体"/>
                <w:bCs/>
                <w:color w:val="auto"/>
                <w:sz w:val="21"/>
                <w:szCs w:val="21"/>
                <w:highlight w:val="none"/>
                <w:lang w:val="zh-CN"/>
              </w:rPr>
              <w:t>提供</w:t>
            </w:r>
            <w:r>
              <w:rPr>
                <w:rFonts w:hint="eastAsia" w:ascii="宋体" w:hAnsi="宋体" w:eastAsia="宋体" w:cs="宋体"/>
                <w:bCs/>
                <w:color w:val="auto"/>
                <w:sz w:val="21"/>
                <w:szCs w:val="21"/>
                <w:highlight w:val="none"/>
                <w:lang w:val="en-US" w:eastAsia="zh-CN"/>
              </w:rPr>
              <w:t>方案</w:t>
            </w:r>
            <w:r>
              <w:rPr>
                <w:rFonts w:hint="eastAsia" w:ascii="宋体" w:hAnsi="宋体" w:eastAsia="宋体" w:cs="宋体"/>
                <w:bCs/>
                <w:color w:val="auto"/>
                <w:sz w:val="21"/>
                <w:szCs w:val="21"/>
                <w:highlight w:val="none"/>
                <w:lang w:val="zh-CN"/>
              </w:rPr>
              <w:t>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8522"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907"/>
              </w:tabs>
              <w:kinsoku/>
              <w:wordWrap/>
              <w:overflowPunct/>
              <w:topLinePunct w:val="0"/>
              <w:autoSpaceDE/>
              <w:autoSpaceDN/>
              <w:bidi w:val="0"/>
              <w:adjustRightInd/>
              <w:snapToGrid/>
              <w:spacing w:after="0" w:line="240" w:lineRule="auto"/>
              <w:ind w:firstLine="422" w:firstLineChars="200"/>
              <w:jc w:val="both"/>
              <w:textAlignment w:val="auto"/>
              <w:rPr>
                <w:rFonts w:hint="eastAsia" w:ascii="宋体" w:hAnsi="宋体" w:eastAsia="宋体"/>
                <w:b/>
                <w:color w:val="auto"/>
                <w:sz w:val="21"/>
                <w:szCs w:val="21"/>
                <w:highlight w:val="none"/>
              </w:rPr>
            </w:pPr>
            <w:r>
              <w:rPr>
                <w:rFonts w:hint="eastAsia" w:ascii="宋体" w:hAnsi="宋体" w:eastAsia="宋体"/>
                <w:b/>
                <w:color w:val="auto"/>
                <w:sz w:val="21"/>
                <w:szCs w:val="21"/>
                <w:highlight w:val="none"/>
              </w:rPr>
              <w:t>注：</w:t>
            </w:r>
          </w:p>
          <w:p>
            <w:pPr>
              <w:keepNext w:val="0"/>
              <w:keepLines w:val="0"/>
              <w:pageBreakBefore w:val="0"/>
              <w:widowControl w:val="0"/>
              <w:tabs>
                <w:tab w:val="left" w:pos="907"/>
              </w:tabs>
              <w:kinsoku/>
              <w:wordWrap/>
              <w:overflowPunct/>
              <w:topLinePunct w:val="0"/>
              <w:autoSpaceDE/>
              <w:autoSpaceDN/>
              <w:bidi w:val="0"/>
              <w:adjustRightInd/>
              <w:snapToGrid/>
              <w:spacing w:after="0" w:line="240" w:lineRule="auto"/>
              <w:ind w:firstLine="422" w:firstLineChars="200"/>
              <w:jc w:val="both"/>
              <w:textAlignment w:val="auto"/>
              <w:rPr>
                <w:rFonts w:hint="eastAsia" w:ascii="宋体" w:hAnsi="宋体" w:eastAsia="宋体"/>
                <w:b/>
                <w:color w:val="auto"/>
                <w:sz w:val="21"/>
                <w:szCs w:val="21"/>
                <w:highlight w:val="none"/>
              </w:rPr>
            </w:pPr>
            <w:r>
              <w:rPr>
                <w:rFonts w:hint="eastAsia" w:ascii="宋体" w:hAnsi="宋体" w:eastAsia="宋体"/>
                <w:b/>
                <w:color w:val="auto"/>
                <w:sz w:val="21"/>
                <w:szCs w:val="21"/>
                <w:highlight w:val="none"/>
              </w:rPr>
              <w:t>（1）无特殊说明外，以上评审项，同一证明文件不重复计分。</w:t>
            </w:r>
          </w:p>
          <w:p>
            <w:pPr>
              <w:keepNext w:val="0"/>
              <w:keepLines w:val="0"/>
              <w:pageBreakBefore w:val="0"/>
              <w:widowControl w:val="0"/>
              <w:tabs>
                <w:tab w:val="left" w:pos="907"/>
              </w:tabs>
              <w:kinsoku/>
              <w:wordWrap/>
              <w:overflowPunct/>
              <w:topLinePunct w:val="0"/>
              <w:autoSpaceDE/>
              <w:autoSpaceDN/>
              <w:bidi w:val="0"/>
              <w:adjustRightInd/>
              <w:snapToGrid/>
              <w:spacing w:after="0" w:line="240" w:lineRule="auto"/>
              <w:ind w:firstLine="422" w:firstLineChars="200"/>
              <w:jc w:val="both"/>
              <w:textAlignment w:val="auto"/>
              <w:rPr>
                <w:rFonts w:hint="eastAsia" w:ascii="宋体" w:hAnsi="宋体" w:eastAsia="宋体"/>
                <w:b/>
                <w:color w:val="auto"/>
                <w:sz w:val="21"/>
                <w:szCs w:val="21"/>
                <w:highlight w:val="none"/>
              </w:rPr>
            </w:pPr>
            <w:r>
              <w:rPr>
                <w:rFonts w:hint="eastAsia" w:ascii="宋体" w:hAnsi="宋体" w:eastAsia="宋体"/>
                <w:b/>
                <w:color w:val="auto"/>
                <w:sz w:val="21"/>
                <w:szCs w:val="21"/>
                <w:highlight w:val="none"/>
              </w:rPr>
              <w:t>（2）投标人根据以上评分要求提供的</w:t>
            </w:r>
            <w:r>
              <w:rPr>
                <w:rFonts w:hint="eastAsia" w:ascii="宋体" w:hAnsi="宋体" w:eastAsia="宋体"/>
                <w:b/>
                <w:color w:val="auto"/>
                <w:sz w:val="21"/>
                <w:szCs w:val="21"/>
                <w:highlight w:val="none"/>
                <w:lang w:eastAsia="zh-CN"/>
              </w:rPr>
              <w:t>投标材料</w:t>
            </w:r>
            <w:r>
              <w:rPr>
                <w:rFonts w:hint="eastAsia" w:ascii="宋体" w:hAnsi="宋体" w:eastAsia="宋体"/>
                <w:b/>
                <w:color w:val="auto"/>
                <w:sz w:val="21"/>
                <w:szCs w:val="21"/>
                <w:highlight w:val="none"/>
              </w:rPr>
              <w:t>因模糊不清导致评标委员会无法清晰辨认进行评审的，</w:t>
            </w:r>
            <w:r>
              <w:rPr>
                <w:rFonts w:hint="eastAsia" w:ascii="宋体" w:hAnsi="宋体" w:eastAsia="宋体"/>
                <w:b/>
                <w:color w:val="auto"/>
                <w:sz w:val="21"/>
                <w:szCs w:val="21"/>
                <w:highlight w:val="none"/>
                <w:lang w:eastAsia="zh-CN"/>
              </w:rPr>
              <w:t>视为无效材料</w:t>
            </w:r>
            <w:r>
              <w:rPr>
                <w:rFonts w:hint="eastAsia" w:ascii="宋体" w:hAnsi="宋体" w:eastAsia="宋体"/>
                <w:b/>
                <w:color w:val="auto"/>
                <w:sz w:val="21"/>
                <w:szCs w:val="21"/>
                <w:highlight w:val="none"/>
              </w:rPr>
              <w:t>。</w:t>
            </w:r>
          </w:p>
          <w:p>
            <w:pPr>
              <w:keepNext w:val="0"/>
              <w:keepLines w:val="0"/>
              <w:pageBreakBefore w:val="0"/>
              <w:widowControl w:val="0"/>
              <w:tabs>
                <w:tab w:val="left" w:pos="907"/>
              </w:tabs>
              <w:kinsoku/>
              <w:wordWrap/>
              <w:overflowPunct/>
              <w:topLinePunct w:val="0"/>
              <w:autoSpaceDE/>
              <w:autoSpaceDN/>
              <w:bidi w:val="0"/>
              <w:adjustRightInd/>
              <w:snapToGrid/>
              <w:spacing w:after="0" w:line="240" w:lineRule="auto"/>
              <w:ind w:firstLine="422" w:firstLineChars="200"/>
              <w:jc w:val="both"/>
              <w:textAlignment w:val="auto"/>
              <w:rPr>
                <w:rFonts w:hint="eastAsia" w:ascii="宋体" w:eastAsia="宋体" w:cs="宋体"/>
                <w:color w:val="auto"/>
                <w:sz w:val="21"/>
                <w:szCs w:val="21"/>
                <w:highlight w:val="none"/>
              </w:rPr>
            </w:pPr>
            <w:r>
              <w:rPr>
                <w:rFonts w:hint="eastAsia" w:ascii="宋体" w:hAnsi="宋体" w:eastAsia="宋体"/>
                <w:b/>
                <w:color w:val="auto"/>
                <w:sz w:val="21"/>
                <w:szCs w:val="21"/>
                <w:highlight w:val="none"/>
                <w:lang w:eastAsia="zh-CN"/>
              </w:rPr>
              <w:t>（</w:t>
            </w:r>
            <w:r>
              <w:rPr>
                <w:rFonts w:hint="eastAsia" w:ascii="宋体" w:hAnsi="宋体" w:eastAsia="宋体"/>
                <w:b/>
                <w:color w:val="auto"/>
                <w:sz w:val="21"/>
                <w:szCs w:val="21"/>
                <w:highlight w:val="none"/>
                <w:lang w:val="en-US" w:eastAsia="zh-CN"/>
              </w:rPr>
              <w:t>3</w:t>
            </w:r>
            <w:r>
              <w:rPr>
                <w:rFonts w:hint="eastAsia" w:ascii="宋体" w:hAnsi="宋体" w:eastAsia="宋体"/>
                <w:b/>
                <w:color w:val="auto"/>
                <w:sz w:val="21"/>
                <w:szCs w:val="21"/>
                <w:highlight w:val="none"/>
                <w:lang w:eastAsia="zh-CN"/>
              </w:rPr>
              <w:t>）</w:t>
            </w:r>
            <w:r>
              <w:rPr>
                <w:rFonts w:hint="eastAsia" w:ascii="宋体" w:hAnsi="宋体" w:eastAsia="宋体"/>
                <w:b/>
                <w:color w:val="auto"/>
                <w:sz w:val="21"/>
                <w:szCs w:val="21"/>
                <w:highlight w:val="none"/>
              </w:rPr>
              <w:t>若因疫情原因暂缓统一托收或阶段性减免社会保险费而导致无法打印社保缴费证明的需提供书面说明并加盖投标人公章。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22" w:type="dxa"/>
            <w:gridSpan w:val="6"/>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eastAsia="宋体" w:cs="宋体"/>
                <w:color w:val="auto"/>
                <w:sz w:val="21"/>
                <w:szCs w:val="21"/>
                <w:highlight w:val="none"/>
                <w:lang w:val="zh-CN" w:eastAsia="zh-CN"/>
              </w:rPr>
            </w:pPr>
            <w:r>
              <w:rPr>
                <w:rFonts w:hint="eastAsia" w:ascii="宋体" w:eastAsia="宋体" w:cs="宋体"/>
                <w:b/>
                <w:bCs/>
                <w:color w:val="auto"/>
                <w:sz w:val="21"/>
                <w:szCs w:val="21"/>
                <w:highlight w:val="none"/>
              </w:rPr>
              <w:t>价格评审</w:t>
            </w:r>
            <w:r>
              <w:rPr>
                <w:rFonts w:hint="eastAsia" w:ascii="宋体" w:eastAsia="宋体" w:cs="宋体"/>
                <w:b/>
                <w:bCs/>
                <w:color w:val="auto"/>
                <w:sz w:val="21"/>
                <w:szCs w:val="21"/>
                <w:highlight w:val="none"/>
                <w:lang w:eastAsia="zh-CN"/>
              </w:rPr>
              <w:t>（</w:t>
            </w:r>
            <w:r>
              <w:rPr>
                <w:rFonts w:hint="eastAsia" w:ascii="宋体" w:eastAsia="宋体" w:cs="宋体"/>
                <w:b/>
                <w:bCs/>
                <w:color w:val="auto"/>
                <w:sz w:val="21"/>
                <w:szCs w:val="21"/>
                <w:highlight w:val="none"/>
                <w:lang w:val="en-US" w:eastAsia="zh-CN"/>
              </w:rPr>
              <w:t>0分</w:t>
            </w:r>
            <w:r>
              <w:rPr>
                <w:rFonts w:hint="eastAsia" w:ascii="宋体" w:eastAsia="宋体" w:cs="宋体"/>
                <w:b/>
                <w:bCs/>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8"/>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1</w:t>
            </w:r>
          </w:p>
        </w:tc>
        <w:tc>
          <w:tcPr>
            <w:tcW w:w="161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环卫保洁单价</w:t>
            </w:r>
          </w:p>
        </w:tc>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0</w:t>
            </w:r>
          </w:p>
        </w:tc>
        <w:tc>
          <w:tcPr>
            <w:tcW w:w="548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zh-CN"/>
              </w:rPr>
              <w:t>本项目采购</w:t>
            </w:r>
            <w:r>
              <w:rPr>
                <w:rFonts w:hint="eastAsia" w:ascii="宋体" w:hAnsi="宋体" w:eastAsia="宋体" w:cs="宋体"/>
                <w:color w:val="auto"/>
                <w:kern w:val="2"/>
                <w:sz w:val="21"/>
                <w:szCs w:val="21"/>
                <w:highlight w:val="none"/>
                <w:lang w:val="en-US" w:eastAsia="zh-CN"/>
              </w:rPr>
              <w:t>固定报价形式</w:t>
            </w:r>
            <w:r>
              <w:rPr>
                <w:rFonts w:hint="eastAsia" w:ascii="宋体" w:hAnsi="宋体" w:eastAsia="宋体" w:cs="宋体"/>
                <w:color w:val="auto"/>
                <w:kern w:val="2"/>
                <w:sz w:val="21"/>
                <w:szCs w:val="21"/>
                <w:highlight w:val="none"/>
                <w:lang w:val="zh-CN"/>
              </w:rPr>
              <w:t>，不进行价格评审。</w:t>
            </w:r>
          </w:p>
        </w:tc>
      </w:tr>
    </w:tbl>
    <w:p>
      <w:pPr>
        <w:pStyle w:val="3"/>
        <w:pageBreakBefore w:val="0"/>
        <w:kinsoku/>
        <w:topLinePunct w:val="0"/>
        <w:autoSpaceDE/>
        <w:autoSpaceDN/>
        <w:bidi w:val="0"/>
        <w:spacing w:before="0" w:after="0" w:line="360" w:lineRule="auto"/>
        <w:rPr>
          <w:color w:val="auto"/>
          <w:sz w:val="36"/>
          <w:szCs w:val="36"/>
          <w:highlight w:val="none"/>
        </w:rPr>
      </w:pPr>
      <w:r>
        <w:rPr>
          <w:rFonts w:hint="eastAsia"/>
          <w:color w:val="auto"/>
          <w:sz w:val="28"/>
          <w:szCs w:val="28"/>
          <w:highlight w:val="none"/>
        </w:rPr>
        <w:br w:type="page"/>
      </w:r>
      <w:bookmarkStart w:id="5" w:name="_Toc21802"/>
      <w:r>
        <w:rPr>
          <w:rFonts w:hint="eastAsia"/>
          <w:color w:val="auto"/>
          <w:sz w:val="28"/>
          <w:szCs w:val="28"/>
          <w:highlight w:val="none"/>
        </w:rPr>
        <w:t>第三部分 用户需求书</w:t>
      </w:r>
      <w:bookmarkEnd w:id="5"/>
    </w:p>
    <w:p>
      <w:pPr>
        <w:pageBreakBefore w:val="0"/>
        <w:kinsoku/>
        <w:topLinePunct w:val="0"/>
        <w:autoSpaceDE/>
        <w:autoSpaceDN/>
        <w:bidi w:val="0"/>
        <w:spacing w:after="0" w:line="360" w:lineRule="auto"/>
        <w:jc w:val="both"/>
        <w:rPr>
          <w:rFonts w:ascii="宋体" w:hAnsi="宋体" w:eastAsia="宋体"/>
          <w:b/>
          <w:color w:val="auto"/>
          <w:sz w:val="24"/>
          <w:highlight w:val="none"/>
        </w:rPr>
      </w:pPr>
    </w:p>
    <w:p>
      <w:pPr>
        <w:pStyle w:val="25"/>
        <w:keepNext w:val="0"/>
        <w:keepLines w:val="0"/>
        <w:pageBreakBefore w:val="0"/>
        <w:widowControl/>
        <w:numPr>
          <w:ilvl w:val="0"/>
          <w:numId w:val="0"/>
        </w:numPr>
        <w:kinsoku/>
        <w:wordWrap/>
        <w:overflowPunct/>
        <w:topLinePunct w:val="0"/>
        <w:autoSpaceDE/>
        <w:autoSpaceDN/>
        <w:bidi w:val="0"/>
        <w:spacing w:after="0" w:line="360" w:lineRule="auto"/>
        <w:ind w:leftChars="0"/>
        <w:jc w:val="center"/>
        <w:textAlignment w:val="auto"/>
        <w:rPr>
          <w:rFonts w:hint="default" w:ascii="宋体" w:hAnsi="宋体"/>
          <w:b/>
          <w:color w:val="auto"/>
          <w:sz w:val="20"/>
          <w:highlight w:val="none"/>
          <w:lang w:val="en-US"/>
        </w:rPr>
      </w:pPr>
      <w:r>
        <w:rPr>
          <w:rFonts w:hint="eastAsia" w:ascii="宋体" w:hAnsi="宋体" w:eastAsia="宋体"/>
          <w:b/>
          <w:color w:val="auto"/>
          <w:sz w:val="28"/>
          <w:szCs w:val="24"/>
          <w:highlight w:val="none"/>
          <w:lang w:eastAsia="zh-CN"/>
        </w:rPr>
        <w:t>商务需求书</w:t>
      </w:r>
    </w:p>
    <w:tbl>
      <w:tblPr>
        <w:tblStyle w:val="17"/>
        <w:tblW w:w="513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50"/>
        <w:gridCol w:w="1369"/>
        <w:gridCol w:w="67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72" w:type="pct"/>
            <w:vAlign w:val="center"/>
          </w:tcPr>
          <w:p>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ascii="宋体" w:hAnsi="宋体" w:eastAsia="宋体"/>
                <w:color w:val="auto"/>
                <w:szCs w:val="21"/>
                <w:highlight w:val="none"/>
              </w:rPr>
            </w:pPr>
            <w:r>
              <w:rPr>
                <w:rFonts w:hint="eastAsia" w:ascii="宋体" w:hAnsi="宋体" w:eastAsia="宋体"/>
                <w:color w:val="auto"/>
                <w:szCs w:val="21"/>
                <w:highlight w:val="none"/>
              </w:rPr>
              <w:t>序号</w:t>
            </w:r>
          </w:p>
        </w:tc>
        <w:tc>
          <w:tcPr>
            <w:tcW w:w="782" w:type="pct"/>
            <w:vAlign w:val="center"/>
          </w:tcPr>
          <w:p>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ascii="宋体" w:hAnsi="宋体" w:eastAsia="宋体"/>
                <w:color w:val="auto"/>
                <w:szCs w:val="21"/>
                <w:highlight w:val="none"/>
              </w:rPr>
            </w:pPr>
            <w:r>
              <w:rPr>
                <w:rFonts w:hint="eastAsia" w:ascii="宋体" w:hAnsi="宋体" w:eastAsia="宋体"/>
                <w:color w:val="auto"/>
                <w:szCs w:val="21"/>
                <w:highlight w:val="none"/>
              </w:rPr>
              <w:t>条款名称</w:t>
            </w:r>
          </w:p>
        </w:tc>
        <w:tc>
          <w:tcPr>
            <w:tcW w:w="3845" w:type="pct"/>
            <w:vAlign w:val="center"/>
          </w:tcPr>
          <w:p>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ascii="宋体" w:hAnsi="宋体" w:eastAsia="宋体"/>
                <w:color w:val="auto"/>
                <w:szCs w:val="21"/>
                <w:highlight w:val="none"/>
              </w:rPr>
            </w:pPr>
            <w:r>
              <w:rPr>
                <w:rFonts w:hint="eastAsia" w:ascii="宋体" w:hAnsi="宋体" w:eastAsia="宋体"/>
                <w:color w:val="auto"/>
                <w:szCs w:val="21"/>
                <w:highlight w:val="none"/>
              </w:rPr>
              <w:t>说  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37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宋体" w:hAnsi="宋体" w:eastAsia="宋体"/>
                <w:color w:val="auto"/>
                <w:szCs w:val="21"/>
                <w:highlight w:val="none"/>
              </w:rPr>
            </w:pPr>
            <w:r>
              <w:rPr>
                <w:rFonts w:hint="eastAsia" w:ascii="宋体" w:hAnsi="宋体" w:eastAsia="宋体"/>
                <w:color w:val="auto"/>
                <w:szCs w:val="21"/>
                <w:highlight w:val="none"/>
              </w:rPr>
              <w:t>1</w:t>
            </w:r>
          </w:p>
        </w:tc>
        <w:tc>
          <w:tcPr>
            <w:tcW w:w="78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olor w:val="auto"/>
                <w:szCs w:val="21"/>
                <w:highlight w:val="none"/>
                <w:lang w:eastAsia="zh-CN"/>
              </w:rPr>
            </w:pPr>
            <w:r>
              <w:rPr>
                <w:rFonts w:hint="eastAsia" w:ascii="宋体" w:hAnsi="宋体" w:eastAsia="宋体"/>
                <w:color w:val="auto"/>
                <w:szCs w:val="21"/>
                <w:highlight w:val="none"/>
                <w:lang w:eastAsia="zh-CN"/>
              </w:rPr>
              <w:t>服务期</w:t>
            </w:r>
          </w:p>
        </w:tc>
        <w:tc>
          <w:tcPr>
            <w:tcW w:w="3845" w:type="pct"/>
            <w:vAlign w:val="center"/>
          </w:tcPr>
          <w:p>
            <w:pPr>
              <w:keepNext w:val="0"/>
              <w:keepLines w:val="0"/>
              <w:pageBreakBefore w:val="0"/>
              <w:widowControl/>
              <w:kinsoku/>
              <w:wordWrap/>
              <w:overflowPunct/>
              <w:topLinePunct w:val="0"/>
              <w:autoSpaceDE/>
              <w:autoSpaceDN/>
              <w:bidi w:val="0"/>
              <w:adjustRightInd/>
              <w:snapToGrid/>
              <w:spacing w:after="0" w:line="312" w:lineRule="auto"/>
              <w:ind w:firstLine="440" w:firstLineChars="200"/>
              <w:jc w:val="both"/>
              <w:textAlignment w:val="auto"/>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rPr>
              <w:t>自合同签订生效之日起3年</w:t>
            </w:r>
            <w:r>
              <w:rPr>
                <w:rFonts w:hint="eastAsia" w:ascii="宋体" w:hAnsi="宋体" w:eastAsia="宋体"/>
                <w:color w:val="auto"/>
                <w:szCs w:val="21"/>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32" w:hRule="atLeast"/>
          <w:jc w:val="center"/>
        </w:trPr>
        <w:tc>
          <w:tcPr>
            <w:tcW w:w="37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2</w:t>
            </w:r>
          </w:p>
        </w:tc>
        <w:tc>
          <w:tcPr>
            <w:tcW w:w="78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theme="minorBidi"/>
                <w:color w:val="auto"/>
                <w:sz w:val="22"/>
                <w:szCs w:val="21"/>
                <w:highlight w:val="none"/>
                <w:lang w:val="en-US" w:eastAsia="zh-CN" w:bidi="ar-SA"/>
              </w:rPr>
            </w:pPr>
            <w:r>
              <w:rPr>
                <w:rFonts w:hint="eastAsia" w:ascii="宋体" w:hAnsi="宋体" w:eastAsia="宋体"/>
                <w:color w:val="auto"/>
                <w:szCs w:val="21"/>
                <w:highlight w:val="none"/>
              </w:rPr>
              <w:t>付款方式</w:t>
            </w:r>
          </w:p>
        </w:tc>
        <w:tc>
          <w:tcPr>
            <w:tcW w:w="3845" w:type="pct"/>
            <w:vAlign w:val="center"/>
          </w:tcPr>
          <w:p>
            <w:pPr>
              <w:keepNext w:val="0"/>
              <w:keepLines w:val="0"/>
              <w:pageBreakBefore w:val="0"/>
              <w:widowControl/>
              <w:kinsoku/>
              <w:wordWrap/>
              <w:overflowPunct/>
              <w:topLinePunct w:val="0"/>
              <w:autoSpaceDE/>
              <w:autoSpaceDN/>
              <w:bidi w:val="0"/>
              <w:adjustRightInd/>
              <w:snapToGrid/>
              <w:spacing w:after="0" w:line="312" w:lineRule="auto"/>
              <w:ind w:firstLine="440" w:firstLineChars="200"/>
              <w:jc w:val="both"/>
              <w:textAlignment w:val="auto"/>
              <w:rPr>
                <w:rFonts w:hint="eastAsia" w:ascii="宋体" w:hAnsi="宋体" w:eastAsia="宋体" w:cstheme="minorBidi"/>
                <w:color w:val="auto"/>
                <w:sz w:val="22"/>
                <w:szCs w:val="21"/>
                <w:highlight w:val="none"/>
                <w:lang w:val="en-US" w:eastAsia="zh-CN" w:bidi="ar-SA"/>
              </w:rPr>
            </w:pPr>
            <w:r>
              <w:rPr>
                <w:rFonts w:hint="eastAsia" w:ascii="宋体" w:hAnsi="宋体" w:eastAsia="宋体" w:cstheme="minorBidi"/>
                <w:color w:val="auto"/>
                <w:sz w:val="22"/>
                <w:szCs w:val="21"/>
                <w:highlight w:val="none"/>
                <w:lang w:val="en-US" w:eastAsia="zh-CN" w:bidi="ar-SA"/>
              </w:rPr>
              <w:t>1、按季度支付承包款，根据每季度结合考核标准进行结算</w:t>
            </w:r>
            <w:r>
              <w:rPr>
                <w:rFonts w:hint="eastAsia" w:ascii="宋体" w:hAnsi="宋体" w:eastAsia="宋体" w:cs="宋体"/>
                <w:b w:val="0"/>
                <w:bCs w:val="0"/>
                <w:color w:val="auto"/>
                <w:kern w:val="2"/>
                <w:sz w:val="21"/>
                <w:szCs w:val="21"/>
                <w:highlight w:val="none"/>
                <w:lang w:val="en-US" w:eastAsia="zh-CN" w:bidi="zh-CN"/>
              </w:rPr>
              <w:t>。</w:t>
            </w:r>
          </w:p>
          <w:p>
            <w:pPr>
              <w:keepNext w:val="0"/>
              <w:keepLines w:val="0"/>
              <w:pageBreakBefore w:val="0"/>
              <w:widowControl/>
              <w:kinsoku/>
              <w:wordWrap/>
              <w:overflowPunct/>
              <w:topLinePunct w:val="0"/>
              <w:autoSpaceDE/>
              <w:autoSpaceDN/>
              <w:bidi w:val="0"/>
              <w:adjustRightInd/>
              <w:snapToGrid/>
              <w:spacing w:after="0" w:line="312" w:lineRule="auto"/>
              <w:ind w:firstLine="440" w:firstLineChars="200"/>
              <w:jc w:val="both"/>
              <w:textAlignment w:val="auto"/>
              <w:rPr>
                <w:rFonts w:ascii="宋体" w:hAnsi="宋体" w:eastAsia="宋体" w:cstheme="minorBidi"/>
                <w:color w:val="auto"/>
                <w:sz w:val="22"/>
                <w:szCs w:val="21"/>
                <w:highlight w:val="none"/>
                <w:lang w:val="en-US" w:eastAsia="zh-CN" w:bidi="ar-SA"/>
              </w:rPr>
            </w:pPr>
            <w:r>
              <w:rPr>
                <w:rFonts w:hint="eastAsia" w:ascii="宋体" w:hAnsi="宋体" w:eastAsia="宋体" w:cstheme="minorBidi"/>
                <w:color w:val="auto"/>
                <w:sz w:val="22"/>
                <w:szCs w:val="21"/>
                <w:highlight w:val="none"/>
                <w:lang w:val="en-US" w:eastAsia="zh-CN" w:bidi="ar-SA"/>
              </w:rPr>
              <w:t>2、每期款项支付时，中标人应在接到采购人开票通知后10天内，提交相应金额的正式发票；如中标人未能按照约定提供相应金额的正式发票，可视为中标人自愿放弃该期承包款，由此产生的责任和损失由中标人自行承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37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olor w:val="auto"/>
                <w:szCs w:val="21"/>
                <w:highlight w:val="none"/>
                <w:lang w:eastAsia="zh-CN"/>
              </w:rPr>
            </w:pPr>
            <w:r>
              <w:rPr>
                <w:rFonts w:hint="eastAsia" w:ascii="宋体" w:hAnsi="宋体" w:eastAsia="宋体"/>
                <w:color w:val="auto"/>
                <w:szCs w:val="21"/>
                <w:highlight w:val="none"/>
                <w:lang w:val="en-US" w:eastAsia="zh-CN"/>
              </w:rPr>
              <w:t>3</w:t>
            </w:r>
          </w:p>
        </w:tc>
        <w:tc>
          <w:tcPr>
            <w:tcW w:w="78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宋体" w:hAnsi="宋体" w:eastAsia="宋体"/>
                <w:color w:val="auto"/>
                <w:szCs w:val="21"/>
                <w:highlight w:val="none"/>
              </w:rPr>
            </w:pPr>
            <w:r>
              <w:rPr>
                <w:rFonts w:hint="eastAsia" w:ascii="宋体" w:hAnsi="宋体" w:eastAsia="宋体"/>
                <w:color w:val="auto"/>
                <w:szCs w:val="21"/>
                <w:highlight w:val="none"/>
              </w:rPr>
              <w:t>项目地点</w:t>
            </w:r>
          </w:p>
        </w:tc>
        <w:tc>
          <w:tcPr>
            <w:tcW w:w="3845" w:type="pct"/>
            <w:vAlign w:val="center"/>
          </w:tcPr>
          <w:p>
            <w:pPr>
              <w:keepNext w:val="0"/>
              <w:keepLines w:val="0"/>
              <w:pageBreakBefore w:val="0"/>
              <w:widowControl/>
              <w:kinsoku/>
              <w:wordWrap/>
              <w:overflowPunct/>
              <w:topLinePunct w:val="0"/>
              <w:autoSpaceDE/>
              <w:autoSpaceDN/>
              <w:bidi w:val="0"/>
              <w:adjustRightInd/>
              <w:snapToGrid/>
              <w:spacing w:after="0" w:line="312" w:lineRule="auto"/>
              <w:ind w:firstLine="440" w:firstLineChars="200"/>
              <w:jc w:val="both"/>
              <w:textAlignment w:val="auto"/>
              <w:rPr>
                <w:rFonts w:hint="eastAsia" w:ascii="宋体" w:hAnsi="宋体" w:eastAsia="宋体"/>
                <w:color w:val="auto"/>
                <w:szCs w:val="21"/>
                <w:highlight w:val="none"/>
                <w:lang w:eastAsia="zh-CN"/>
              </w:rPr>
            </w:pPr>
            <w:r>
              <w:rPr>
                <w:rFonts w:hint="eastAsia" w:ascii="宋体" w:hAnsi="宋体" w:eastAsia="宋体"/>
                <w:color w:val="auto"/>
                <w:szCs w:val="21"/>
                <w:highlight w:val="none"/>
                <w:lang w:eastAsia="zh-CN"/>
              </w:rPr>
              <w:t>东莞市横沥镇石涌村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73" w:hRule="atLeast"/>
          <w:jc w:val="center"/>
        </w:trPr>
        <w:tc>
          <w:tcPr>
            <w:tcW w:w="37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olor w:val="auto"/>
                <w:szCs w:val="21"/>
                <w:highlight w:val="none"/>
                <w:lang w:eastAsia="zh-CN"/>
              </w:rPr>
            </w:pPr>
            <w:r>
              <w:rPr>
                <w:rFonts w:hint="eastAsia" w:ascii="宋体" w:hAnsi="宋体" w:eastAsia="宋体"/>
                <w:color w:val="auto"/>
                <w:szCs w:val="21"/>
                <w:highlight w:val="none"/>
                <w:lang w:val="en-US" w:eastAsia="zh-CN"/>
              </w:rPr>
              <w:t>4</w:t>
            </w:r>
          </w:p>
        </w:tc>
        <w:tc>
          <w:tcPr>
            <w:tcW w:w="78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olor w:val="auto"/>
                <w:szCs w:val="21"/>
                <w:highlight w:val="none"/>
                <w:lang w:eastAsia="zh-CN"/>
              </w:rPr>
            </w:pPr>
            <w:r>
              <w:rPr>
                <w:rFonts w:hint="eastAsia" w:ascii="宋体" w:hAnsi="宋体" w:eastAsia="宋体"/>
                <w:color w:val="auto"/>
                <w:szCs w:val="21"/>
                <w:highlight w:val="none"/>
              </w:rPr>
              <w:t>报价</w:t>
            </w:r>
            <w:r>
              <w:rPr>
                <w:rFonts w:hint="eastAsia" w:ascii="宋体" w:hAnsi="宋体" w:eastAsia="宋体"/>
                <w:color w:val="auto"/>
                <w:szCs w:val="21"/>
                <w:highlight w:val="none"/>
                <w:lang w:eastAsia="zh-CN"/>
              </w:rPr>
              <w:t>要求</w:t>
            </w:r>
          </w:p>
        </w:tc>
        <w:tc>
          <w:tcPr>
            <w:tcW w:w="3845" w:type="pct"/>
            <w:vAlign w:val="center"/>
          </w:tcPr>
          <w:p>
            <w:pPr>
              <w:keepNext w:val="0"/>
              <w:keepLines w:val="0"/>
              <w:pageBreakBefore w:val="0"/>
              <w:widowControl/>
              <w:kinsoku/>
              <w:wordWrap/>
              <w:overflowPunct/>
              <w:topLinePunct w:val="0"/>
              <w:autoSpaceDE/>
              <w:autoSpaceDN/>
              <w:bidi w:val="0"/>
              <w:adjustRightInd/>
              <w:snapToGrid/>
              <w:spacing w:after="0" w:line="312" w:lineRule="auto"/>
              <w:ind w:firstLine="440" w:firstLineChars="200"/>
              <w:jc w:val="both"/>
              <w:textAlignment w:val="auto"/>
              <w:rPr>
                <w:rFonts w:hint="eastAsia" w:ascii="宋体" w:hAnsi="宋体" w:eastAsia="宋体"/>
                <w:color w:val="auto"/>
                <w:szCs w:val="21"/>
                <w:highlight w:val="none"/>
                <w:lang w:eastAsia="zh-CN"/>
              </w:rPr>
            </w:pPr>
            <w:r>
              <w:rPr>
                <w:rFonts w:hint="eastAsia" w:ascii="宋体" w:hAnsi="宋体" w:eastAsia="宋体"/>
                <w:color w:val="auto"/>
                <w:szCs w:val="21"/>
                <w:highlight w:val="none"/>
                <w:lang w:eastAsia="zh-CN"/>
              </w:rPr>
              <w:t>投标报价以固定总价（与固定结算价保持一致）方式进行报价，投标报价包括垃圾清扫费、保洁费、公厕养护费、垃圾收集费、管理费、人员费用（含工资、奖金、社保、教育培训、保险、住房公积金等费用）、税费、生产资料（环卫工具、机械设备等）以及处置各类突发事件等完成本项目所需的全部费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37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olor w:val="auto"/>
                <w:szCs w:val="21"/>
                <w:highlight w:val="none"/>
                <w:lang w:eastAsia="zh-CN"/>
              </w:rPr>
            </w:pPr>
            <w:r>
              <w:rPr>
                <w:rFonts w:hint="eastAsia" w:ascii="宋体" w:hAnsi="宋体" w:eastAsia="宋体"/>
                <w:color w:val="auto"/>
                <w:szCs w:val="21"/>
                <w:highlight w:val="none"/>
                <w:lang w:val="en-US" w:eastAsia="zh-CN"/>
              </w:rPr>
              <w:t>5</w:t>
            </w:r>
          </w:p>
        </w:tc>
        <w:tc>
          <w:tcPr>
            <w:tcW w:w="78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theme="minorBidi"/>
                <w:color w:val="auto"/>
                <w:sz w:val="22"/>
                <w:szCs w:val="21"/>
                <w:highlight w:val="none"/>
                <w:lang w:val="en-US" w:eastAsia="zh-CN" w:bidi="ar-SA"/>
              </w:rPr>
            </w:pPr>
            <w:r>
              <w:rPr>
                <w:rFonts w:ascii="宋体" w:hAnsi="宋体" w:eastAsia="宋体"/>
                <w:color w:val="auto"/>
                <w:szCs w:val="21"/>
                <w:highlight w:val="none"/>
              </w:rPr>
              <w:t>合同条款</w:t>
            </w:r>
          </w:p>
        </w:tc>
        <w:tc>
          <w:tcPr>
            <w:tcW w:w="3845" w:type="pct"/>
            <w:vAlign w:val="center"/>
          </w:tcPr>
          <w:p>
            <w:pPr>
              <w:keepNext w:val="0"/>
              <w:keepLines w:val="0"/>
              <w:pageBreakBefore w:val="0"/>
              <w:widowControl/>
              <w:kinsoku/>
              <w:wordWrap/>
              <w:overflowPunct/>
              <w:topLinePunct w:val="0"/>
              <w:autoSpaceDE/>
              <w:autoSpaceDN/>
              <w:bidi w:val="0"/>
              <w:adjustRightInd/>
              <w:snapToGrid/>
              <w:spacing w:after="0" w:line="312" w:lineRule="auto"/>
              <w:ind w:firstLine="440" w:firstLineChars="200"/>
              <w:jc w:val="both"/>
              <w:textAlignment w:val="auto"/>
              <w:rPr>
                <w:rFonts w:ascii="宋体" w:hAnsi="宋体" w:eastAsia="宋体" w:cstheme="minorBidi"/>
                <w:color w:val="auto"/>
                <w:sz w:val="22"/>
                <w:szCs w:val="21"/>
                <w:highlight w:val="none"/>
                <w:lang w:val="en-US" w:eastAsia="zh-CN" w:bidi="ar-SA"/>
              </w:rPr>
            </w:pPr>
            <w:r>
              <w:rPr>
                <w:rFonts w:hint="eastAsia" w:ascii="宋体" w:hAnsi="宋体" w:eastAsia="宋体"/>
                <w:color w:val="auto"/>
                <w:szCs w:val="21"/>
                <w:highlight w:val="none"/>
                <w:lang w:eastAsia="zh-CN"/>
              </w:rPr>
              <w:t>投标人</w:t>
            </w:r>
            <w:r>
              <w:rPr>
                <w:rFonts w:ascii="宋体" w:hAnsi="宋体" w:eastAsia="宋体"/>
                <w:color w:val="auto"/>
                <w:szCs w:val="21"/>
                <w:highlight w:val="none"/>
              </w:rPr>
              <w:t>实质响应合同各条款。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79" w:hRule="atLeast"/>
          <w:jc w:val="center"/>
        </w:trPr>
        <w:tc>
          <w:tcPr>
            <w:tcW w:w="37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olor w:val="auto"/>
                <w:szCs w:val="21"/>
                <w:highlight w:val="none"/>
                <w:lang w:eastAsia="zh-CN"/>
              </w:rPr>
            </w:pPr>
            <w:r>
              <w:rPr>
                <w:rFonts w:hint="eastAsia" w:ascii="宋体" w:hAnsi="宋体" w:eastAsia="宋体"/>
                <w:color w:val="auto"/>
                <w:szCs w:val="21"/>
                <w:highlight w:val="none"/>
                <w:lang w:val="en-US" w:eastAsia="zh-CN"/>
              </w:rPr>
              <w:t>6</w:t>
            </w:r>
          </w:p>
        </w:tc>
        <w:tc>
          <w:tcPr>
            <w:tcW w:w="78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宋体" w:hAnsi="宋体" w:eastAsia="宋体"/>
                <w:color w:val="auto"/>
                <w:szCs w:val="21"/>
                <w:highlight w:val="none"/>
              </w:rPr>
            </w:pPr>
            <w:r>
              <w:rPr>
                <w:rFonts w:ascii="宋体" w:hAnsi="宋体" w:eastAsia="宋体"/>
                <w:color w:val="auto"/>
                <w:szCs w:val="21"/>
                <w:highlight w:val="none"/>
              </w:rPr>
              <w:t>其它要求</w:t>
            </w:r>
          </w:p>
        </w:tc>
        <w:tc>
          <w:tcPr>
            <w:tcW w:w="3845" w:type="pct"/>
            <w:vAlign w:val="center"/>
          </w:tcPr>
          <w:p>
            <w:pPr>
              <w:keepNext w:val="0"/>
              <w:keepLines w:val="0"/>
              <w:pageBreakBefore w:val="0"/>
              <w:widowControl/>
              <w:kinsoku/>
              <w:wordWrap/>
              <w:overflowPunct/>
              <w:topLinePunct w:val="0"/>
              <w:autoSpaceDE/>
              <w:autoSpaceDN/>
              <w:bidi w:val="0"/>
              <w:adjustRightInd/>
              <w:snapToGrid/>
              <w:spacing w:after="0" w:line="312" w:lineRule="auto"/>
              <w:ind w:firstLine="440" w:firstLineChars="200"/>
              <w:jc w:val="both"/>
              <w:textAlignment w:val="auto"/>
              <w:rPr>
                <w:rFonts w:ascii="宋体" w:hAnsi="宋体" w:eastAsia="宋体"/>
                <w:b/>
                <w:color w:val="auto"/>
                <w:szCs w:val="21"/>
                <w:highlight w:val="none"/>
              </w:rPr>
            </w:pPr>
            <w:r>
              <w:rPr>
                <w:rFonts w:hint="eastAsia" w:ascii="宋体" w:hAnsi="宋体" w:eastAsia="宋体"/>
                <w:color w:val="auto"/>
                <w:szCs w:val="21"/>
                <w:highlight w:val="none"/>
              </w:rPr>
              <w:t>投标人应充分结合本招标文件上下文了解项目招标需求、采购文件未尽事宜，将在合同签订或项目执行过程中双方协商确定，供应商须无条件满足采购单位的合理要求。</w:t>
            </w:r>
          </w:p>
        </w:tc>
      </w:tr>
    </w:tbl>
    <w:p>
      <w:pPr>
        <w:pageBreakBefore w:val="0"/>
        <w:kinsoku/>
        <w:topLinePunct w:val="0"/>
        <w:autoSpaceDE/>
        <w:autoSpaceDN/>
        <w:bidi w:val="0"/>
        <w:spacing w:line="360" w:lineRule="auto"/>
        <w:rPr>
          <w:rFonts w:hint="eastAsia" w:ascii="宋体" w:hAnsi="宋体" w:eastAsia="宋体" w:cstheme="minorBidi"/>
          <w:b/>
          <w:color w:val="auto"/>
          <w:sz w:val="24"/>
          <w:szCs w:val="22"/>
          <w:highlight w:val="none"/>
          <w:lang w:val="en-US" w:eastAsia="zh-CN" w:bidi="ar-SA"/>
        </w:rPr>
      </w:pPr>
      <w:r>
        <w:rPr>
          <w:rFonts w:hint="eastAsia" w:ascii="宋体" w:hAnsi="宋体" w:eastAsia="宋体" w:cstheme="minorBidi"/>
          <w:b/>
          <w:color w:val="auto"/>
          <w:sz w:val="24"/>
          <w:szCs w:val="22"/>
          <w:highlight w:val="none"/>
          <w:lang w:val="en-US" w:eastAsia="zh-CN" w:bidi="ar-SA"/>
        </w:rPr>
        <w:br w:type="page"/>
      </w:r>
    </w:p>
    <w:p>
      <w:pPr>
        <w:pageBreakBefore w:val="0"/>
        <w:kinsoku/>
        <w:topLinePunct w:val="0"/>
        <w:autoSpaceDE/>
        <w:autoSpaceDN/>
        <w:bidi w:val="0"/>
        <w:spacing w:line="360" w:lineRule="auto"/>
        <w:jc w:val="center"/>
        <w:rPr>
          <w:rFonts w:hint="eastAsia" w:ascii="宋体" w:hAnsi="宋体" w:eastAsia="微软雅黑"/>
          <w:color w:val="auto"/>
          <w:sz w:val="21"/>
          <w:szCs w:val="21"/>
          <w:highlight w:val="none"/>
          <w:lang w:eastAsia="zh-CN"/>
        </w:rPr>
      </w:pPr>
      <w:r>
        <w:rPr>
          <w:rFonts w:hint="eastAsia" w:ascii="宋体" w:hAnsi="宋体" w:eastAsia="宋体" w:cstheme="minorBidi"/>
          <w:b/>
          <w:color w:val="auto"/>
          <w:sz w:val="28"/>
          <w:szCs w:val="24"/>
          <w:highlight w:val="none"/>
          <w:lang w:val="en-US" w:eastAsia="zh-CN" w:bidi="ar-SA"/>
        </w:rPr>
        <w:t>技术需求书</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firstLine="0" w:firstLineChars="0"/>
        <w:jc w:val="both"/>
        <w:textAlignment w:val="auto"/>
        <w:rPr>
          <w:rFonts w:hint="eastAsia" w:ascii="Calibri" w:hAnsi="Calibri" w:eastAsia="宋体" w:cs="Times New Roman"/>
          <w:b/>
          <w:bCs/>
          <w:color w:val="auto"/>
          <w:kern w:val="2"/>
          <w:sz w:val="24"/>
          <w:szCs w:val="32"/>
          <w:highlight w:val="none"/>
          <w:lang w:val="en-US" w:eastAsia="zh-CN"/>
        </w:rPr>
      </w:pPr>
      <w:bookmarkStart w:id="6" w:name="_Toc31278"/>
      <w:bookmarkStart w:id="7" w:name="_Toc13112"/>
      <w:bookmarkStart w:id="8" w:name="_Toc14462"/>
      <w:bookmarkStart w:id="9" w:name="_Toc24679"/>
      <w:r>
        <w:rPr>
          <w:rFonts w:hint="eastAsia" w:ascii="Calibri" w:hAnsi="Calibri" w:eastAsia="宋体" w:cs="Times New Roman"/>
          <w:b/>
          <w:bCs/>
          <w:color w:val="auto"/>
          <w:kern w:val="2"/>
          <w:sz w:val="24"/>
          <w:szCs w:val="32"/>
          <w:highlight w:val="none"/>
          <w:lang w:val="en-US" w:eastAsia="zh-CN"/>
        </w:rPr>
        <w:t>项目概况</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 xml:space="preserve">随着城市社会经济水平的不断发展，人民群众日益增长的美好生活需要和不平衡不充分的发展之间的矛盾，成为制约城市进一步发展的瓶颈。改善城市品环境卫生质量，提升人居环境品质，进而解决城市发展过程中的主要矛盾。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2022年1月30日，东莞市城市管理和综合执法局印发了关于征求《东莞市环境卫分级分类管理与作业指引（东城管委办〔2022〕3 号）》（以下简称《指引》）意见的通知，《指引》要求如下：</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 xml:space="preserve">依据《城市环境卫生质量标准》（建城〔1997〕21 号），参考先进城市环境卫生作业要求，结合东莞清扫保洁作业模式，将城市公共区域清扫保洁划分为四个保洁等级，分别为一级、二级、三级、四级。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随着东莞市城市环境卫生保洁质量要求的提高，石涌社区现有的道路和公厕的清扫保洁需要进一步提高工作效率和质量。因此需要加强清扫保洁，针对不同等级道路采用不同标准的作业方式以满足《指引》标准，提高垃圾的清扫、收集、运输、处置的效率，加快实现垃圾的减量化、无害化和资源化。</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firstLine="0" w:firstLineChars="0"/>
        <w:jc w:val="both"/>
        <w:textAlignment w:val="auto"/>
        <w:rPr>
          <w:rFonts w:hint="default" w:ascii="Calibri" w:hAnsi="Calibri" w:eastAsia="宋体" w:cs="Times New Roman"/>
          <w:b/>
          <w:bCs/>
          <w:color w:val="auto"/>
          <w:kern w:val="2"/>
          <w:sz w:val="24"/>
          <w:szCs w:val="32"/>
          <w:highlight w:val="none"/>
          <w:lang w:val="en-US" w:eastAsia="zh-CN"/>
        </w:rPr>
      </w:pPr>
      <w:r>
        <w:rPr>
          <w:rFonts w:hint="eastAsia" w:ascii="Calibri" w:hAnsi="Calibri" w:eastAsia="宋体" w:cs="Times New Roman"/>
          <w:b/>
          <w:bCs/>
          <w:color w:val="auto"/>
          <w:kern w:val="2"/>
          <w:sz w:val="24"/>
          <w:szCs w:val="32"/>
          <w:highlight w:val="none"/>
          <w:lang w:val="en-US" w:eastAsia="zh-CN"/>
        </w:rPr>
        <w:t>工作范围及内容</w:t>
      </w:r>
    </w:p>
    <w:p>
      <w:pPr>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12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（1）总体范围及内容</w:t>
      </w:r>
    </w:p>
    <w:tbl>
      <w:tblPr>
        <w:tblStyle w:val="1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7"/>
        <w:gridCol w:w="1442"/>
        <w:gridCol w:w="1442"/>
        <w:gridCol w:w="1442"/>
        <w:gridCol w:w="1442"/>
        <w:gridCol w:w="1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767"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default" w:ascii="Calibri" w:hAnsi="Calibri" w:eastAsia="宋体" w:cs="Times New Roman"/>
                <w:b/>
                <w:bCs/>
                <w:color w:val="auto"/>
                <w:kern w:val="2"/>
                <w:sz w:val="20"/>
                <w:szCs w:val="20"/>
                <w:highlight w:val="none"/>
                <w:vertAlign w:val="baseline"/>
                <w:lang w:val="en-US" w:eastAsia="zh-CN"/>
              </w:rPr>
            </w:pPr>
            <w:r>
              <w:rPr>
                <w:rFonts w:hint="eastAsia" w:ascii="Calibri" w:hAnsi="Calibri" w:eastAsia="宋体" w:cs="Times New Roman"/>
                <w:b/>
                <w:bCs/>
                <w:color w:val="auto"/>
                <w:kern w:val="2"/>
                <w:sz w:val="20"/>
                <w:szCs w:val="20"/>
                <w:highlight w:val="none"/>
                <w:vertAlign w:val="baseline"/>
                <w:lang w:val="en-US" w:eastAsia="zh-CN"/>
              </w:rPr>
              <w:t>垃圾用冲洗数量</w:t>
            </w:r>
          </w:p>
        </w:tc>
        <w:tc>
          <w:tcPr>
            <w:tcW w:w="846"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default" w:ascii="Calibri" w:hAnsi="Calibri" w:eastAsia="宋体" w:cs="Times New Roman"/>
                <w:b/>
                <w:bCs/>
                <w:color w:val="auto"/>
                <w:kern w:val="2"/>
                <w:sz w:val="20"/>
                <w:szCs w:val="20"/>
                <w:highlight w:val="none"/>
                <w:vertAlign w:val="baseline"/>
                <w:lang w:val="en-US" w:eastAsia="zh-CN"/>
              </w:rPr>
            </w:pPr>
            <w:r>
              <w:rPr>
                <w:rFonts w:hint="eastAsia" w:ascii="Calibri" w:hAnsi="Calibri" w:eastAsia="宋体" w:cs="Times New Roman"/>
                <w:b/>
                <w:bCs/>
                <w:color w:val="auto"/>
                <w:kern w:val="2"/>
                <w:sz w:val="20"/>
                <w:szCs w:val="20"/>
                <w:highlight w:val="none"/>
                <w:vertAlign w:val="baseline"/>
                <w:lang w:val="en-US" w:eastAsia="zh-CN"/>
              </w:rPr>
              <w:t>一级保洁面积</w:t>
            </w:r>
          </w:p>
        </w:tc>
        <w:tc>
          <w:tcPr>
            <w:tcW w:w="846"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default" w:ascii="Calibri" w:hAnsi="Calibri" w:eastAsia="宋体" w:cs="Times New Roman"/>
                <w:b/>
                <w:bCs/>
                <w:color w:val="auto"/>
                <w:kern w:val="2"/>
                <w:sz w:val="20"/>
                <w:szCs w:val="20"/>
                <w:highlight w:val="none"/>
                <w:vertAlign w:val="baseline"/>
                <w:lang w:val="en-US" w:eastAsia="zh-CN"/>
              </w:rPr>
            </w:pPr>
            <w:r>
              <w:rPr>
                <w:rFonts w:hint="eastAsia" w:ascii="Calibri" w:hAnsi="Calibri" w:eastAsia="宋体" w:cs="Times New Roman"/>
                <w:b/>
                <w:bCs/>
                <w:color w:val="auto"/>
                <w:kern w:val="2"/>
                <w:sz w:val="20"/>
                <w:szCs w:val="20"/>
                <w:highlight w:val="none"/>
                <w:vertAlign w:val="baseline"/>
                <w:lang w:val="en-US" w:eastAsia="zh-CN"/>
              </w:rPr>
              <w:t>二级保洁面积</w:t>
            </w:r>
          </w:p>
        </w:tc>
        <w:tc>
          <w:tcPr>
            <w:tcW w:w="846"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default" w:ascii="Calibri" w:hAnsi="Calibri" w:eastAsia="宋体" w:cs="Times New Roman"/>
                <w:b/>
                <w:bCs/>
                <w:color w:val="auto"/>
                <w:kern w:val="2"/>
                <w:sz w:val="20"/>
                <w:szCs w:val="20"/>
                <w:highlight w:val="none"/>
                <w:vertAlign w:val="baseline"/>
                <w:lang w:val="en-US" w:eastAsia="zh-CN"/>
              </w:rPr>
            </w:pPr>
            <w:r>
              <w:rPr>
                <w:rFonts w:hint="eastAsia" w:ascii="Calibri" w:hAnsi="Calibri" w:eastAsia="宋体" w:cs="Times New Roman"/>
                <w:b/>
                <w:bCs/>
                <w:color w:val="auto"/>
                <w:kern w:val="2"/>
                <w:sz w:val="20"/>
                <w:szCs w:val="20"/>
                <w:highlight w:val="none"/>
                <w:vertAlign w:val="baseline"/>
                <w:lang w:val="en-US" w:eastAsia="zh-CN"/>
              </w:rPr>
              <w:t>三级保洁面积</w:t>
            </w:r>
          </w:p>
        </w:tc>
        <w:tc>
          <w:tcPr>
            <w:tcW w:w="846"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Calibri" w:hAnsi="Calibri" w:eastAsia="宋体" w:cs="Times New Roman"/>
                <w:b/>
                <w:bCs/>
                <w:color w:val="auto"/>
                <w:kern w:val="2"/>
                <w:sz w:val="20"/>
                <w:szCs w:val="20"/>
                <w:highlight w:val="none"/>
                <w:vertAlign w:val="baseline"/>
                <w:lang w:val="en-US" w:eastAsia="zh-CN"/>
              </w:rPr>
            </w:pPr>
            <w:r>
              <w:rPr>
                <w:rFonts w:hint="eastAsia" w:ascii="Calibri" w:hAnsi="Calibri" w:eastAsia="宋体" w:cs="Times New Roman"/>
                <w:b/>
                <w:bCs/>
                <w:color w:val="auto"/>
                <w:kern w:val="2"/>
                <w:sz w:val="20"/>
                <w:szCs w:val="20"/>
                <w:highlight w:val="none"/>
                <w:vertAlign w:val="baseline"/>
                <w:lang w:val="en-US" w:eastAsia="zh-CN"/>
              </w:rPr>
              <w:t>四级保洁面积</w:t>
            </w:r>
          </w:p>
        </w:tc>
        <w:tc>
          <w:tcPr>
            <w:tcW w:w="846"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Calibri" w:hAnsi="Calibri" w:eastAsia="宋体" w:cs="Times New Roman"/>
                <w:b/>
                <w:bCs/>
                <w:color w:val="auto"/>
                <w:kern w:val="2"/>
                <w:sz w:val="20"/>
                <w:szCs w:val="20"/>
                <w:highlight w:val="none"/>
                <w:vertAlign w:val="baseline"/>
                <w:lang w:val="en-US" w:eastAsia="zh-CN"/>
              </w:rPr>
            </w:pPr>
            <w:r>
              <w:rPr>
                <w:rFonts w:hint="eastAsia" w:ascii="Calibri" w:hAnsi="Calibri" w:eastAsia="宋体" w:cs="Times New Roman"/>
                <w:b/>
                <w:bCs/>
                <w:color w:val="auto"/>
                <w:kern w:val="2"/>
                <w:sz w:val="20"/>
                <w:szCs w:val="20"/>
                <w:highlight w:val="none"/>
                <w:vertAlign w:val="baseline"/>
                <w:lang w:val="en-US" w:eastAsia="zh-CN"/>
              </w:rPr>
              <w:t>总面积面积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767"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Calibri" w:hAnsi="Calibri" w:eastAsia="宋体" w:cs="Times New Roman"/>
                <w:b/>
                <w:bCs/>
                <w:color w:val="auto"/>
                <w:kern w:val="2"/>
                <w:sz w:val="20"/>
                <w:szCs w:val="20"/>
                <w:highlight w:val="none"/>
                <w:vertAlign w:val="baseline"/>
                <w:lang w:val="en-US" w:eastAsia="zh-CN"/>
              </w:rPr>
            </w:pPr>
            <w:r>
              <w:rPr>
                <w:rFonts w:hint="eastAsia" w:ascii="Calibri" w:hAnsi="Calibri" w:eastAsia="宋体" w:cs="Times New Roman"/>
                <w:b/>
                <w:bCs/>
                <w:color w:val="auto"/>
                <w:kern w:val="2"/>
                <w:sz w:val="20"/>
                <w:szCs w:val="20"/>
                <w:highlight w:val="none"/>
                <w:vertAlign w:val="baseline"/>
                <w:lang w:val="en-US" w:eastAsia="zh-CN"/>
              </w:rPr>
              <w:t>（个）</w:t>
            </w:r>
          </w:p>
        </w:tc>
        <w:tc>
          <w:tcPr>
            <w:tcW w:w="846"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Calibri" w:hAnsi="Calibri" w:eastAsia="宋体" w:cs="Times New Roman"/>
                <w:b/>
                <w:bCs/>
                <w:color w:val="auto"/>
                <w:kern w:val="2"/>
                <w:sz w:val="20"/>
                <w:szCs w:val="20"/>
                <w:highlight w:val="none"/>
                <w:vertAlign w:val="baseline"/>
                <w:lang w:val="en-US" w:eastAsia="zh-CN"/>
              </w:rPr>
            </w:pPr>
            <w:r>
              <w:rPr>
                <w:rFonts w:hint="eastAsia" w:ascii="Calibri" w:hAnsi="Calibri" w:eastAsia="宋体" w:cs="Times New Roman"/>
                <w:b/>
                <w:bCs/>
                <w:color w:val="auto"/>
                <w:kern w:val="2"/>
                <w:sz w:val="20"/>
                <w:szCs w:val="20"/>
                <w:highlight w:val="none"/>
                <w:vertAlign w:val="baseline"/>
                <w:lang w:val="en-US" w:eastAsia="zh-CN"/>
              </w:rPr>
              <w:t>（㎡）</w:t>
            </w:r>
          </w:p>
        </w:tc>
        <w:tc>
          <w:tcPr>
            <w:tcW w:w="846"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Calibri" w:hAnsi="Calibri" w:eastAsia="宋体" w:cs="Times New Roman"/>
                <w:b/>
                <w:bCs/>
                <w:color w:val="auto"/>
                <w:kern w:val="2"/>
                <w:sz w:val="20"/>
                <w:szCs w:val="20"/>
                <w:highlight w:val="none"/>
                <w:vertAlign w:val="baseline"/>
                <w:lang w:val="en-US" w:eastAsia="zh-CN"/>
              </w:rPr>
            </w:pPr>
            <w:r>
              <w:rPr>
                <w:rFonts w:hint="eastAsia" w:ascii="Calibri" w:hAnsi="Calibri" w:eastAsia="宋体" w:cs="Times New Roman"/>
                <w:b/>
                <w:bCs/>
                <w:color w:val="auto"/>
                <w:kern w:val="2"/>
                <w:sz w:val="20"/>
                <w:szCs w:val="20"/>
                <w:highlight w:val="none"/>
                <w:vertAlign w:val="baseline"/>
                <w:lang w:val="en-US" w:eastAsia="zh-CN"/>
              </w:rPr>
              <w:t>（㎡）</w:t>
            </w:r>
          </w:p>
        </w:tc>
        <w:tc>
          <w:tcPr>
            <w:tcW w:w="846"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Calibri" w:hAnsi="Calibri" w:eastAsia="宋体" w:cs="Times New Roman"/>
                <w:b/>
                <w:bCs/>
                <w:color w:val="auto"/>
                <w:kern w:val="2"/>
                <w:sz w:val="20"/>
                <w:szCs w:val="20"/>
                <w:highlight w:val="none"/>
                <w:vertAlign w:val="baseline"/>
                <w:lang w:val="en-US" w:eastAsia="zh-CN"/>
              </w:rPr>
            </w:pPr>
            <w:r>
              <w:rPr>
                <w:rFonts w:hint="eastAsia" w:ascii="Calibri" w:hAnsi="Calibri" w:eastAsia="宋体" w:cs="Times New Roman"/>
                <w:b/>
                <w:bCs/>
                <w:color w:val="auto"/>
                <w:kern w:val="2"/>
                <w:sz w:val="20"/>
                <w:szCs w:val="20"/>
                <w:highlight w:val="none"/>
                <w:vertAlign w:val="baseline"/>
                <w:lang w:val="en-US" w:eastAsia="zh-CN"/>
              </w:rPr>
              <w:t>（㎡）</w:t>
            </w:r>
          </w:p>
        </w:tc>
        <w:tc>
          <w:tcPr>
            <w:tcW w:w="846"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Calibri" w:hAnsi="Calibri" w:eastAsia="宋体" w:cs="Times New Roman"/>
                <w:b/>
                <w:bCs/>
                <w:color w:val="auto"/>
                <w:kern w:val="2"/>
                <w:sz w:val="20"/>
                <w:szCs w:val="20"/>
                <w:highlight w:val="none"/>
                <w:vertAlign w:val="baseline"/>
                <w:lang w:val="en-US" w:eastAsia="zh-CN"/>
              </w:rPr>
            </w:pPr>
            <w:r>
              <w:rPr>
                <w:rFonts w:hint="eastAsia" w:ascii="Calibri" w:hAnsi="Calibri" w:eastAsia="宋体" w:cs="Times New Roman"/>
                <w:b/>
                <w:bCs/>
                <w:color w:val="auto"/>
                <w:kern w:val="2"/>
                <w:sz w:val="20"/>
                <w:szCs w:val="20"/>
                <w:highlight w:val="none"/>
                <w:vertAlign w:val="baseline"/>
                <w:lang w:val="en-US" w:eastAsia="zh-CN"/>
              </w:rPr>
              <w:t>（㎡）</w:t>
            </w:r>
          </w:p>
        </w:tc>
        <w:tc>
          <w:tcPr>
            <w:tcW w:w="846"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Calibri" w:hAnsi="Calibri" w:eastAsia="宋体" w:cs="Times New Roman"/>
                <w:b/>
                <w:bCs/>
                <w:color w:val="auto"/>
                <w:kern w:val="2"/>
                <w:sz w:val="20"/>
                <w:szCs w:val="20"/>
                <w:highlight w:val="none"/>
                <w:vertAlign w:val="baseline"/>
                <w:lang w:val="en-US" w:eastAsia="zh-CN"/>
              </w:rPr>
            </w:pPr>
            <w:r>
              <w:rPr>
                <w:rFonts w:hint="eastAsia" w:ascii="Calibri" w:hAnsi="Calibri" w:eastAsia="宋体" w:cs="Times New Roman"/>
                <w:b/>
                <w:bCs/>
                <w:color w:val="auto"/>
                <w:kern w:val="2"/>
                <w:sz w:val="20"/>
                <w:szCs w:val="20"/>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67" w:type="pct"/>
            <w:vAlign w:val="center"/>
          </w:tcPr>
          <w:p>
            <w:pPr>
              <w:keepNext w:val="0"/>
              <w:keepLines w:val="0"/>
              <w:pageBreakBefore w:val="0"/>
              <w:widowControl w:val="0"/>
              <w:suppressLineNumbers w:val="0"/>
              <w:kinsoku/>
              <w:wordWrap/>
              <w:overflowPunct w:val="0"/>
              <w:topLinePunct w:val="0"/>
              <w:autoSpaceDE w:val="0"/>
              <w:autoSpaceDN w:val="0"/>
              <w:bidi w:val="0"/>
              <w:adjustRightInd/>
              <w:snapToGrid w:val="0"/>
              <w:spacing w:after="0"/>
              <w:jc w:val="center"/>
              <w:textAlignment w:val="center"/>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i w:val="0"/>
                <w:iCs w:val="0"/>
                <w:color w:val="auto"/>
                <w:kern w:val="0"/>
                <w:sz w:val="21"/>
                <w:szCs w:val="21"/>
                <w:highlight w:val="none"/>
                <w:u w:val="none"/>
                <w:lang w:val="en-US" w:eastAsia="zh-CN" w:bidi="ar"/>
              </w:rPr>
              <w:t>480</w:t>
            </w:r>
          </w:p>
        </w:tc>
        <w:tc>
          <w:tcPr>
            <w:tcW w:w="846" w:type="pct"/>
            <w:vAlign w:val="center"/>
          </w:tcPr>
          <w:p>
            <w:pPr>
              <w:keepNext w:val="0"/>
              <w:keepLines w:val="0"/>
              <w:pageBreakBefore w:val="0"/>
              <w:widowControl w:val="0"/>
              <w:suppressLineNumbers w:val="0"/>
              <w:kinsoku/>
              <w:wordWrap/>
              <w:overflowPunct w:val="0"/>
              <w:topLinePunct w:val="0"/>
              <w:autoSpaceDE w:val="0"/>
              <w:autoSpaceDN w:val="0"/>
              <w:bidi w:val="0"/>
              <w:adjustRightInd/>
              <w:snapToGrid w:val="0"/>
              <w:spacing w:after="0"/>
              <w:jc w:val="center"/>
              <w:textAlignment w:val="center"/>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i w:val="0"/>
                <w:iCs w:val="0"/>
                <w:color w:val="auto"/>
                <w:kern w:val="0"/>
                <w:sz w:val="21"/>
                <w:szCs w:val="21"/>
                <w:highlight w:val="none"/>
                <w:u w:val="none"/>
                <w:lang w:val="en-US" w:eastAsia="zh-CN" w:bidi="ar"/>
              </w:rPr>
              <w:t>0</w:t>
            </w:r>
          </w:p>
        </w:tc>
        <w:tc>
          <w:tcPr>
            <w:tcW w:w="846" w:type="pct"/>
            <w:vAlign w:val="center"/>
          </w:tcPr>
          <w:p>
            <w:pPr>
              <w:keepNext w:val="0"/>
              <w:keepLines w:val="0"/>
              <w:pageBreakBefore w:val="0"/>
              <w:widowControl w:val="0"/>
              <w:suppressLineNumbers w:val="0"/>
              <w:kinsoku/>
              <w:wordWrap/>
              <w:overflowPunct w:val="0"/>
              <w:topLinePunct w:val="0"/>
              <w:autoSpaceDE w:val="0"/>
              <w:autoSpaceDN w:val="0"/>
              <w:bidi w:val="0"/>
              <w:adjustRightInd/>
              <w:snapToGrid w:val="0"/>
              <w:spacing w:after="0"/>
              <w:jc w:val="center"/>
              <w:textAlignment w:val="center"/>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i w:val="0"/>
                <w:iCs w:val="0"/>
                <w:color w:val="auto"/>
                <w:kern w:val="0"/>
                <w:sz w:val="21"/>
                <w:szCs w:val="21"/>
                <w:highlight w:val="none"/>
                <w:u w:val="none"/>
                <w:lang w:val="en-US" w:eastAsia="zh-CN" w:bidi="ar"/>
              </w:rPr>
              <w:t>264199</w:t>
            </w:r>
          </w:p>
        </w:tc>
        <w:tc>
          <w:tcPr>
            <w:tcW w:w="846" w:type="pct"/>
            <w:vAlign w:val="center"/>
          </w:tcPr>
          <w:p>
            <w:pPr>
              <w:keepNext w:val="0"/>
              <w:keepLines w:val="0"/>
              <w:pageBreakBefore w:val="0"/>
              <w:widowControl w:val="0"/>
              <w:suppressLineNumbers w:val="0"/>
              <w:kinsoku/>
              <w:wordWrap/>
              <w:overflowPunct w:val="0"/>
              <w:topLinePunct w:val="0"/>
              <w:autoSpaceDE w:val="0"/>
              <w:autoSpaceDN w:val="0"/>
              <w:bidi w:val="0"/>
              <w:adjustRightInd/>
              <w:snapToGrid w:val="0"/>
              <w:spacing w:after="0"/>
              <w:jc w:val="center"/>
              <w:textAlignment w:val="center"/>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i w:val="0"/>
                <w:iCs w:val="0"/>
                <w:color w:val="auto"/>
                <w:kern w:val="0"/>
                <w:sz w:val="21"/>
                <w:szCs w:val="21"/>
                <w:highlight w:val="none"/>
                <w:u w:val="none"/>
                <w:lang w:val="en-US" w:eastAsia="zh-CN" w:bidi="ar"/>
              </w:rPr>
              <w:t>30636</w:t>
            </w:r>
          </w:p>
        </w:tc>
        <w:tc>
          <w:tcPr>
            <w:tcW w:w="846" w:type="pct"/>
            <w:vAlign w:val="center"/>
          </w:tcPr>
          <w:p>
            <w:pPr>
              <w:keepNext w:val="0"/>
              <w:keepLines w:val="0"/>
              <w:pageBreakBefore w:val="0"/>
              <w:widowControl w:val="0"/>
              <w:suppressLineNumbers w:val="0"/>
              <w:kinsoku/>
              <w:wordWrap/>
              <w:overflowPunct w:val="0"/>
              <w:topLinePunct w:val="0"/>
              <w:autoSpaceDE w:val="0"/>
              <w:autoSpaceDN w:val="0"/>
              <w:bidi w:val="0"/>
              <w:adjustRightInd/>
              <w:snapToGrid w:val="0"/>
              <w:spacing w:after="0"/>
              <w:jc w:val="center"/>
              <w:textAlignment w:val="center"/>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i w:val="0"/>
                <w:iCs w:val="0"/>
                <w:color w:val="auto"/>
                <w:kern w:val="0"/>
                <w:sz w:val="21"/>
                <w:szCs w:val="21"/>
                <w:highlight w:val="none"/>
                <w:u w:val="none"/>
                <w:lang w:val="en-US" w:eastAsia="zh-CN" w:bidi="ar"/>
              </w:rPr>
              <w:t>232865</w:t>
            </w:r>
          </w:p>
        </w:tc>
        <w:tc>
          <w:tcPr>
            <w:tcW w:w="846" w:type="pct"/>
            <w:vAlign w:val="center"/>
          </w:tcPr>
          <w:p>
            <w:pPr>
              <w:keepNext w:val="0"/>
              <w:keepLines w:val="0"/>
              <w:pageBreakBefore w:val="0"/>
              <w:widowControl w:val="0"/>
              <w:suppressLineNumbers w:val="0"/>
              <w:kinsoku/>
              <w:wordWrap/>
              <w:overflowPunct w:val="0"/>
              <w:topLinePunct w:val="0"/>
              <w:autoSpaceDE w:val="0"/>
              <w:autoSpaceDN w:val="0"/>
              <w:bidi w:val="0"/>
              <w:adjustRightInd/>
              <w:snapToGrid w:val="0"/>
              <w:spacing w:after="0"/>
              <w:jc w:val="center"/>
              <w:textAlignment w:val="center"/>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i w:val="0"/>
                <w:iCs w:val="0"/>
                <w:color w:val="auto"/>
                <w:kern w:val="0"/>
                <w:sz w:val="21"/>
                <w:szCs w:val="21"/>
                <w:highlight w:val="none"/>
                <w:u w:val="none"/>
                <w:lang w:val="en-US" w:eastAsia="zh-CN" w:bidi="ar"/>
              </w:rPr>
              <w:t>527700</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line="288" w:lineRule="auto"/>
        <w:ind w:left="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包含统筹面积内的清扫保洁、公厕管养、“牛皮癣”清理、排水井清理、生活垃圾收集至中转站、环卫器具清洗管理等环卫作业内容。</w:t>
      </w:r>
    </w:p>
    <w:p>
      <w:pPr>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12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（2）道路明细表</w:t>
      </w:r>
    </w:p>
    <w:tbl>
      <w:tblPr>
        <w:tblStyle w:val="1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8"/>
        <w:gridCol w:w="2031"/>
        <w:gridCol w:w="2323"/>
        <w:gridCol w:w="1706"/>
        <w:gridCol w:w="16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45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1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b/>
                <w:bCs/>
                <w:i w:val="0"/>
                <w:iCs w:val="0"/>
                <w:color w:val="auto"/>
                <w:sz w:val="21"/>
                <w:szCs w:val="21"/>
                <w:highlight w:val="none"/>
                <w:u w:val="none"/>
              </w:rPr>
            </w:pPr>
            <w:r>
              <w:rPr>
                <w:rStyle w:val="45"/>
                <w:rFonts w:hint="eastAsia" w:ascii="宋体" w:hAnsi="宋体" w:eastAsia="宋体" w:cs="宋体"/>
                <w:color w:val="auto"/>
                <w:sz w:val="21"/>
                <w:szCs w:val="21"/>
                <w:highlight w:val="none"/>
                <w:lang w:val="en-US" w:eastAsia="zh-CN" w:bidi="ar"/>
              </w:rPr>
              <w:t>道路名称</w:t>
            </w:r>
          </w:p>
        </w:tc>
        <w:tc>
          <w:tcPr>
            <w:tcW w:w="13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道路类型</w:t>
            </w: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道路长度（m）</w:t>
            </w:r>
          </w:p>
        </w:tc>
        <w:tc>
          <w:tcPr>
            <w:tcW w:w="9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保洁面积（㎡）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b/>
                <w:bCs/>
                <w:i w:val="0"/>
                <w:iCs w:val="0"/>
                <w:color w:val="auto"/>
                <w:sz w:val="21"/>
                <w:szCs w:val="21"/>
                <w:highlight w:val="none"/>
                <w:u w:val="none"/>
              </w:rPr>
            </w:pPr>
          </w:p>
        </w:tc>
        <w:tc>
          <w:tcPr>
            <w:tcW w:w="1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b/>
                <w:bCs/>
                <w:i w:val="0"/>
                <w:iCs w:val="0"/>
                <w:color w:val="auto"/>
                <w:sz w:val="21"/>
                <w:szCs w:val="21"/>
                <w:highlight w:val="none"/>
                <w:u w:val="none"/>
              </w:rPr>
            </w:pPr>
          </w:p>
        </w:tc>
        <w:tc>
          <w:tcPr>
            <w:tcW w:w="1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b/>
                <w:bCs/>
                <w:i w:val="0"/>
                <w:iCs w:val="0"/>
                <w:color w:val="auto"/>
                <w:sz w:val="21"/>
                <w:szCs w:val="21"/>
                <w:highlight w:val="none"/>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b/>
                <w:bCs/>
                <w:i w:val="0"/>
                <w:iCs w:val="0"/>
                <w:color w:val="auto"/>
                <w:sz w:val="21"/>
                <w:szCs w:val="21"/>
                <w:highlight w:val="none"/>
                <w:u w:val="none"/>
              </w:rPr>
            </w:pPr>
          </w:p>
        </w:tc>
        <w:tc>
          <w:tcPr>
            <w:tcW w:w="9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b/>
                <w:bCs/>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石涌路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715</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9338.00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金马路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760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13569.00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昌鸿路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700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8856.00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昌鸿一路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600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9898.00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昌鸿三路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6092.00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昌鸿四路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400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8288.00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昌鸿五路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440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8500.00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石坑路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890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17319.00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上文前一路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350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3358.00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上文前二路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400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8023.00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罗屋一路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270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2223.00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罗屋二路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250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2979.00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罗屋三路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260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2527.00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工业大道</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570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10910.00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15</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一区道路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2110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45402.00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tabs>
                <w:tab w:val="center" w:pos="336"/>
                <w:tab w:val="left" w:pos="450"/>
              </w:tabs>
              <w:kinsoku/>
              <w:wordWrap/>
              <w:overflowPunct/>
              <w:topLinePunct w:val="0"/>
              <w:autoSpaceDE/>
              <w:autoSpaceDN/>
              <w:bidi w:val="0"/>
              <w:spacing w:after="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16</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二区道路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2380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39248.00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17</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三区道路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1155</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23526.00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18</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兴业路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890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20714.00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19</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沿河路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1152</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22809.00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20</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神山工业城道路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1410</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31256.00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21</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罗屋三路横巷</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i w:val="0"/>
                <w:iCs w:val="0"/>
                <w:color w:val="auto"/>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i w:val="0"/>
                <w:iCs w:val="0"/>
                <w:color w:val="auto"/>
                <w:sz w:val="21"/>
                <w:szCs w:val="21"/>
                <w:highlight w:val="none"/>
                <w:u w:val="none"/>
                <w:lang w:val="en-US" w:eastAsia="zh-CN" w:bidi="ar-SA"/>
              </w:rPr>
            </w:pP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217.00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22</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上文前内院（四条）</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i w:val="0"/>
                <w:iCs w:val="0"/>
                <w:color w:val="auto"/>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i w:val="0"/>
                <w:iCs w:val="0"/>
                <w:color w:val="auto"/>
                <w:sz w:val="21"/>
                <w:szCs w:val="21"/>
                <w:highlight w:val="none"/>
                <w:u w:val="none"/>
                <w:lang w:val="en-US" w:eastAsia="zh-CN" w:bidi="ar-SA"/>
              </w:rPr>
            </w:pP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3616.00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23</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昌鸿二路</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i w:val="0"/>
                <w:iCs w:val="0"/>
                <w:color w:val="auto"/>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i w:val="0"/>
                <w:iCs w:val="0"/>
                <w:color w:val="auto"/>
                <w:sz w:val="21"/>
                <w:szCs w:val="21"/>
                <w:highlight w:val="none"/>
                <w:u w:val="none"/>
                <w:lang w:val="en-US" w:eastAsia="zh-CN" w:bidi="ar-SA"/>
              </w:rPr>
            </w:pP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3021.00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24</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昌鸿路内巷</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i w:val="0"/>
                <w:iCs w:val="0"/>
                <w:color w:val="auto"/>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一般道路</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i w:val="0"/>
                <w:iCs w:val="0"/>
                <w:color w:val="auto"/>
                <w:sz w:val="21"/>
                <w:szCs w:val="21"/>
                <w:highlight w:val="none"/>
                <w:u w:val="none"/>
                <w:lang w:val="en-US" w:eastAsia="zh-CN" w:bidi="ar-SA"/>
              </w:rPr>
            </w:pP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4897.00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25</w:t>
            </w:r>
          </w:p>
        </w:tc>
        <w:tc>
          <w:tcPr>
            <w:tcW w:w="1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其他街巷等</w:t>
            </w:r>
          </w:p>
        </w:tc>
        <w:tc>
          <w:tcPr>
            <w:tcW w:w="1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i w:val="0"/>
                <w:iCs w:val="0"/>
                <w:color w:val="auto"/>
                <w:kern w:val="0"/>
                <w:sz w:val="21"/>
                <w:szCs w:val="21"/>
                <w:highlight w:val="none"/>
                <w:u w:val="none"/>
                <w:lang w:val="en-US" w:eastAsia="zh-CN" w:bidi="ar"/>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i w:val="0"/>
                <w:iCs w:val="0"/>
                <w:color w:val="auto"/>
                <w:sz w:val="21"/>
                <w:szCs w:val="21"/>
                <w:highlight w:val="none"/>
                <w:u w:val="none"/>
                <w:lang w:val="en-US" w:eastAsia="zh-CN" w:bidi="ar-SA"/>
              </w:rPr>
            </w:pP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221114.00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00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spacing w:after="0"/>
              <w:jc w:val="center"/>
              <w:rPr>
                <w:rFonts w:hint="eastAsia" w:ascii="宋体" w:hAnsi="宋体" w:eastAsia="宋体" w:cs="宋体"/>
                <w:i w:val="0"/>
                <w:iCs w:val="0"/>
                <w:color w:val="auto"/>
                <w:sz w:val="21"/>
                <w:szCs w:val="21"/>
                <w:highlight w:val="none"/>
                <w:u w:val="none"/>
                <w:lang w:val="en-US" w:eastAsia="zh-CN" w:bidi="ar-SA"/>
              </w:rPr>
            </w:pPr>
            <w:r>
              <w:rPr>
                <w:rFonts w:hint="eastAsia" w:ascii="宋体" w:hAnsi="宋体" w:eastAsia="宋体" w:cs="宋体"/>
                <w:i w:val="0"/>
                <w:iCs w:val="0"/>
                <w:color w:val="auto"/>
                <w:sz w:val="21"/>
                <w:szCs w:val="21"/>
                <w:highlight w:val="none"/>
                <w:u w:val="none"/>
                <w:lang w:val="en-US" w:eastAsia="zh-CN" w:bidi="ar-SA"/>
              </w:rPr>
              <w:t>合计：</w:t>
            </w:r>
          </w:p>
        </w:tc>
        <w:tc>
          <w:tcPr>
            <w:tcW w:w="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spacing w:after="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527700.00</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line="360" w:lineRule="auto"/>
        <w:jc w:val="both"/>
        <w:textAlignment w:val="auto"/>
        <w:rPr>
          <w:rFonts w:hint="eastAsia"/>
          <w:color w:val="auto"/>
          <w:highlight w:val="none"/>
          <w:lang w:val="en-US" w:eastAsia="zh-CN"/>
        </w:rPr>
      </w:pPr>
      <w:r>
        <w:rPr>
          <w:rFonts w:hint="eastAsia" w:ascii="宋体" w:hAnsi="宋体" w:eastAsia="宋体" w:cs="宋体"/>
          <w:color w:val="auto"/>
          <w:kern w:val="2"/>
          <w:sz w:val="21"/>
          <w:szCs w:val="21"/>
          <w:highlight w:val="none"/>
          <w:lang w:val="en-US" w:eastAsia="zh-CN" w:bidi="zh-CN"/>
        </w:rPr>
        <w:drawing>
          <wp:inline distT="0" distB="0" distL="114300" distR="114300">
            <wp:extent cx="5271135" cy="5271135"/>
            <wp:effectExtent l="0" t="0" r="5715" b="5715"/>
            <wp:docPr id="4" name="图片 4" descr="石涌(3)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石涌(3)_00"/>
                    <pic:cNvPicPr>
                      <a:picLocks noChangeAspect="1"/>
                    </pic:cNvPicPr>
                  </pic:nvPicPr>
                  <pic:blipFill>
                    <a:blip r:embed="rId9"/>
                    <a:stretch>
                      <a:fillRect/>
                    </a:stretch>
                  </pic:blipFill>
                  <pic:spPr>
                    <a:xfrm>
                      <a:off x="0" y="0"/>
                      <a:ext cx="5271135" cy="527113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12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（3）公厕设置情况</w:t>
      </w:r>
    </w:p>
    <w:tbl>
      <w:tblPr>
        <w:tblStyle w:val="1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2292"/>
        <w:gridCol w:w="2800"/>
        <w:gridCol w:w="818"/>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483" w:type="pct"/>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序号</w:t>
            </w:r>
          </w:p>
        </w:tc>
        <w:tc>
          <w:tcPr>
            <w:tcW w:w="1345" w:type="pct"/>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公厕名</w:t>
            </w:r>
          </w:p>
        </w:tc>
        <w:tc>
          <w:tcPr>
            <w:tcW w:w="1643" w:type="pct"/>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详细地址</w:t>
            </w:r>
          </w:p>
        </w:tc>
        <w:tc>
          <w:tcPr>
            <w:tcW w:w="480" w:type="pct"/>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类别</w:t>
            </w:r>
          </w:p>
        </w:tc>
        <w:tc>
          <w:tcPr>
            <w:tcW w:w="1048" w:type="pct"/>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占地面积（㎡）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83"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default" w:ascii="宋体" w:hAnsi="宋体" w:eastAsia="宋体" w:cs="宋体"/>
                <w:color w:val="auto"/>
                <w:kern w:val="2"/>
                <w:sz w:val="20"/>
                <w:szCs w:val="20"/>
                <w:highlight w:val="none"/>
                <w:vertAlign w:val="baseline"/>
                <w:lang w:val="en-US" w:eastAsia="zh-CN"/>
              </w:rPr>
            </w:pPr>
            <w:r>
              <w:rPr>
                <w:rFonts w:hint="eastAsia" w:ascii="宋体" w:hAnsi="宋体" w:eastAsia="宋体" w:cs="宋体"/>
                <w:color w:val="auto"/>
                <w:kern w:val="2"/>
                <w:sz w:val="20"/>
                <w:szCs w:val="20"/>
                <w:highlight w:val="none"/>
                <w:vertAlign w:val="baseline"/>
                <w:lang w:val="en-US" w:eastAsia="zh-CN"/>
              </w:rPr>
              <w:t>1</w:t>
            </w:r>
          </w:p>
        </w:tc>
        <w:tc>
          <w:tcPr>
            <w:tcW w:w="1345"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color w:val="auto"/>
                <w:kern w:val="2"/>
                <w:sz w:val="20"/>
                <w:szCs w:val="20"/>
                <w:highlight w:val="none"/>
                <w:vertAlign w:val="baseline"/>
                <w:lang w:val="en-US" w:eastAsia="zh-CN"/>
              </w:rPr>
            </w:pPr>
            <w:r>
              <w:rPr>
                <w:rFonts w:hint="eastAsia" w:ascii="宋体" w:hAnsi="宋体" w:eastAsia="宋体" w:cs="宋体"/>
                <w:color w:val="auto"/>
                <w:kern w:val="2"/>
                <w:sz w:val="20"/>
                <w:szCs w:val="20"/>
                <w:highlight w:val="none"/>
                <w:vertAlign w:val="baseline"/>
                <w:lang w:val="en-US" w:eastAsia="zh-CN"/>
              </w:rPr>
              <w:t>石涌公共厕所</w:t>
            </w:r>
          </w:p>
        </w:tc>
        <w:tc>
          <w:tcPr>
            <w:tcW w:w="1643"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color w:val="auto"/>
                <w:kern w:val="2"/>
                <w:sz w:val="20"/>
                <w:szCs w:val="20"/>
                <w:highlight w:val="none"/>
                <w:vertAlign w:val="baseline"/>
                <w:lang w:val="en-US" w:eastAsia="zh-CN"/>
              </w:rPr>
            </w:pPr>
            <w:r>
              <w:rPr>
                <w:rFonts w:hint="eastAsia" w:ascii="宋体" w:hAnsi="宋体" w:eastAsia="宋体" w:cs="宋体"/>
                <w:color w:val="auto"/>
                <w:kern w:val="2"/>
                <w:sz w:val="20"/>
                <w:szCs w:val="20"/>
                <w:highlight w:val="none"/>
                <w:vertAlign w:val="baseline"/>
                <w:lang w:val="en-US" w:eastAsia="zh-CN"/>
              </w:rPr>
              <w:t>横沥镇西环路</w:t>
            </w:r>
          </w:p>
        </w:tc>
        <w:tc>
          <w:tcPr>
            <w:tcW w:w="480"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default" w:ascii="宋体" w:hAnsi="宋体" w:eastAsia="宋体" w:cs="宋体"/>
                <w:color w:val="auto"/>
                <w:kern w:val="2"/>
                <w:sz w:val="20"/>
                <w:szCs w:val="20"/>
                <w:highlight w:val="none"/>
                <w:vertAlign w:val="baseline"/>
                <w:lang w:val="en-US" w:eastAsia="zh-CN"/>
              </w:rPr>
            </w:pPr>
            <w:r>
              <w:rPr>
                <w:rFonts w:hint="eastAsia" w:ascii="宋体" w:hAnsi="宋体" w:eastAsia="宋体" w:cs="宋体"/>
                <w:color w:val="auto"/>
                <w:kern w:val="2"/>
                <w:sz w:val="20"/>
                <w:szCs w:val="20"/>
                <w:highlight w:val="none"/>
                <w:vertAlign w:val="baseline"/>
                <w:lang w:val="en-US" w:eastAsia="zh-CN"/>
              </w:rPr>
              <w:t>二类</w:t>
            </w:r>
          </w:p>
        </w:tc>
        <w:tc>
          <w:tcPr>
            <w:tcW w:w="1048" w:type="pct"/>
            <w:vAlign w:val="center"/>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default" w:ascii="宋体" w:hAnsi="宋体" w:eastAsia="宋体" w:cs="宋体"/>
                <w:color w:val="auto"/>
                <w:kern w:val="2"/>
                <w:sz w:val="20"/>
                <w:szCs w:val="20"/>
                <w:highlight w:val="none"/>
                <w:vertAlign w:val="baseline"/>
                <w:lang w:val="en-US" w:eastAsia="zh-CN"/>
              </w:rPr>
            </w:pPr>
            <w:r>
              <w:rPr>
                <w:rFonts w:hint="eastAsia" w:ascii="宋体" w:hAnsi="宋体" w:eastAsia="宋体" w:cs="宋体"/>
                <w:color w:val="auto"/>
                <w:kern w:val="2"/>
                <w:sz w:val="20"/>
                <w:szCs w:val="20"/>
                <w:highlight w:val="none"/>
                <w:vertAlign w:val="baseline"/>
                <w:lang w:val="en-US" w:eastAsia="zh-CN"/>
              </w:rPr>
              <w:t>98.8</w:t>
            </w:r>
          </w:p>
        </w:tc>
      </w:tr>
    </w:tbl>
    <w:p>
      <w:pPr>
        <w:widowControl w:val="0"/>
        <w:adjustRightInd/>
        <w:snapToGrid/>
        <w:spacing w:after="0"/>
        <w:jc w:val="both"/>
        <w:rPr>
          <w:rFonts w:hint="default" w:ascii="Calibri" w:hAnsi="Calibri" w:eastAsia="宋体" w:cs="Times New Roman"/>
          <w:color w:val="auto"/>
          <w:kern w:val="2"/>
          <w:sz w:val="21"/>
          <w:szCs w:val="24"/>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firstLine="0" w:firstLineChars="0"/>
        <w:jc w:val="both"/>
        <w:textAlignment w:val="auto"/>
        <w:rPr>
          <w:rFonts w:hint="default" w:ascii="Calibri" w:hAnsi="Calibri" w:eastAsia="宋体" w:cs="Times New Roman"/>
          <w:b/>
          <w:bCs/>
          <w:color w:val="auto"/>
          <w:kern w:val="2"/>
          <w:sz w:val="24"/>
          <w:szCs w:val="32"/>
          <w:highlight w:val="none"/>
          <w:lang w:val="en-US" w:eastAsia="zh-CN"/>
        </w:rPr>
      </w:pPr>
      <w:r>
        <w:rPr>
          <w:rFonts w:hint="eastAsia" w:ascii="Calibri" w:hAnsi="Calibri" w:eastAsia="宋体" w:cs="Times New Roman"/>
          <w:b/>
          <w:bCs/>
          <w:color w:val="auto"/>
          <w:kern w:val="2"/>
          <w:sz w:val="24"/>
          <w:szCs w:val="32"/>
          <w:highlight w:val="none"/>
          <w:lang w:val="en-US" w:eastAsia="zh-CN"/>
        </w:rPr>
        <w:t>环境卫生质量要求</w:t>
      </w:r>
    </w:p>
    <w:p>
      <w:pPr>
        <w:keepNext w:val="0"/>
        <w:keepLines w:val="0"/>
        <w:pageBreakBefore w:val="0"/>
        <w:widowControl w:val="0"/>
        <w:kinsoku/>
        <w:wordWrap/>
        <w:overflowPunct/>
        <w:topLinePunct w:val="0"/>
        <w:autoSpaceDE/>
        <w:autoSpaceDN/>
        <w:bidi w:val="0"/>
        <w:adjustRightInd/>
        <w:snapToGrid/>
        <w:spacing w:before="161" w:after="0" w:line="288" w:lineRule="auto"/>
        <w:ind w:left="0" w:firstLine="442" w:firstLineChars="200"/>
        <w:jc w:val="left"/>
        <w:textAlignment w:val="auto"/>
        <w:rPr>
          <w:rFonts w:hint="eastAsia" w:ascii="宋体" w:hAnsi="宋体" w:eastAsia="宋体" w:cs="宋体"/>
          <w:b/>
          <w:bCs/>
          <w:color w:val="auto"/>
          <w:kern w:val="2"/>
          <w:sz w:val="22"/>
          <w:szCs w:val="28"/>
          <w:highlight w:val="none"/>
          <w:lang w:val="en-US" w:eastAsia="zh-CN" w:bidi="zh-CN"/>
        </w:rPr>
      </w:pPr>
      <w:r>
        <w:rPr>
          <w:rFonts w:hint="eastAsia" w:ascii="宋体" w:hAnsi="宋体" w:eastAsia="宋体" w:cs="宋体"/>
          <w:b/>
          <w:bCs/>
          <w:color w:val="auto"/>
          <w:kern w:val="2"/>
          <w:sz w:val="22"/>
          <w:szCs w:val="28"/>
          <w:highlight w:val="none"/>
          <w:lang w:val="en-US" w:eastAsia="zh-CN" w:bidi="zh-CN"/>
        </w:rPr>
        <w:t>（一）城市道路、广场、步行街清扫保洁的质量要求</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1、日间，一至四级清扫保洁区域的路面废弃物总数应符合下表规定。</w:t>
      </w:r>
    </w:p>
    <w:p>
      <w:pPr>
        <w:widowControl w:val="0"/>
        <w:spacing w:before="161"/>
        <w:ind w:left="120"/>
        <w:jc w:val="center"/>
        <w:rPr>
          <w:rFonts w:hint="eastAsia" w:ascii="宋体" w:hAnsi="宋体" w:eastAsia="宋体" w:cs="宋体"/>
          <w:b/>
          <w:bCs/>
          <w:color w:val="auto"/>
          <w:kern w:val="2"/>
          <w:sz w:val="22"/>
          <w:szCs w:val="28"/>
          <w:highlight w:val="none"/>
          <w:lang w:val="en-US" w:eastAsia="zh-CN" w:bidi="zh-CN"/>
        </w:rPr>
      </w:pPr>
      <w:r>
        <w:rPr>
          <w:rFonts w:hint="eastAsia" w:ascii="宋体" w:hAnsi="宋体" w:eastAsia="宋体" w:cs="宋体"/>
          <w:b/>
          <w:bCs/>
          <w:color w:val="auto"/>
          <w:kern w:val="2"/>
          <w:sz w:val="22"/>
          <w:szCs w:val="28"/>
          <w:highlight w:val="none"/>
          <w:lang w:val="en-US" w:eastAsia="zh-CN" w:bidi="zh-CN"/>
        </w:rPr>
        <w:t>表1城市道路路 面废弃物控制指标</w:t>
      </w:r>
    </w:p>
    <w:p>
      <w:pPr>
        <w:widowControl w:val="0"/>
        <w:adjustRightInd/>
        <w:snapToGrid/>
        <w:spacing w:after="0"/>
        <w:jc w:val="both"/>
        <w:rPr>
          <w:rFonts w:hint="eastAsia" w:ascii="Calibri" w:hAnsi="Calibri" w:eastAsia="宋体" w:cs="Times New Roman"/>
          <w:color w:val="auto"/>
          <w:kern w:val="2"/>
          <w:sz w:val="21"/>
          <w:szCs w:val="24"/>
          <w:highlight w:val="none"/>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
        <w:gridCol w:w="2055"/>
        <w:gridCol w:w="1912"/>
        <w:gridCol w:w="1643"/>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保洁等级</w:t>
            </w:r>
          </w:p>
        </w:tc>
        <w:tc>
          <w:tcPr>
            <w:tcW w:w="2055"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eastAsia"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果皮、纸屑、塑膜及其他杂物</w:t>
            </w:r>
          </w:p>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（件/500平方米）</w:t>
            </w:r>
          </w:p>
        </w:tc>
        <w:tc>
          <w:tcPr>
            <w:tcW w:w="1912"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eastAsia"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烟蒂</w:t>
            </w:r>
          </w:p>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（个/500平方米）</w:t>
            </w:r>
          </w:p>
        </w:tc>
        <w:tc>
          <w:tcPr>
            <w:tcW w:w="1643"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eastAsia" w:ascii="宋体" w:hAnsi="宋体" w:eastAsia="宋体" w:cs="宋体"/>
                <w:color w:val="auto"/>
                <w:kern w:val="2"/>
                <w:sz w:val="20"/>
                <w:szCs w:val="20"/>
                <w:highlight w:val="none"/>
                <w:lang w:val="en-US" w:eastAsia="zh-CN" w:bidi="zh-CN"/>
              </w:rPr>
            </w:pPr>
            <w:r>
              <w:rPr>
                <w:rFonts w:hint="eastAsia" w:ascii="宋体" w:hAnsi="宋体" w:eastAsia="宋体" w:cs="宋体"/>
                <w:color w:val="auto"/>
                <w:kern w:val="2"/>
                <w:sz w:val="20"/>
                <w:szCs w:val="20"/>
                <w:highlight w:val="none"/>
                <w:lang w:val="en-US" w:eastAsia="zh-CN" w:bidi="zh-CN"/>
              </w:rPr>
              <w:t>污水、污渍</w:t>
            </w:r>
          </w:p>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rPr>
                <w:rFonts w:hint="default" w:ascii="Calibri" w:hAnsi="Calibri" w:eastAsia="宋体" w:cs="Times New Roman"/>
                <w:color w:val="auto"/>
                <w:kern w:val="2"/>
                <w:sz w:val="20"/>
                <w:szCs w:val="20"/>
                <w:highlight w:val="none"/>
                <w:lang w:val="en-US" w:eastAsia="zh-CN"/>
              </w:rPr>
            </w:pPr>
            <w:r>
              <w:rPr>
                <w:rFonts w:hint="eastAsia" w:ascii="Calibri" w:hAnsi="Calibri" w:eastAsia="宋体" w:cs="Times New Roman"/>
                <w:color w:val="auto"/>
                <w:kern w:val="2"/>
                <w:sz w:val="20"/>
                <w:szCs w:val="20"/>
                <w:highlight w:val="none"/>
                <w:lang w:val="en-US" w:eastAsia="zh-CN"/>
              </w:rPr>
              <w:t>（平方米/500平方米）</w:t>
            </w:r>
          </w:p>
        </w:tc>
        <w:tc>
          <w:tcPr>
            <w:tcW w:w="1767"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eastAsia" w:ascii="宋体" w:hAnsi="宋体" w:eastAsia="宋体" w:cs="宋体"/>
                <w:color w:val="auto"/>
                <w:kern w:val="2"/>
                <w:sz w:val="20"/>
                <w:szCs w:val="20"/>
                <w:highlight w:val="none"/>
                <w:lang w:val="en-US" w:eastAsia="zh-CN" w:bidi="zh-CN"/>
              </w:rPr>
            </w:pPr>
            <w:r>
              <w:rPr>
                <w:rFonts w:hint="eastAsia" w:ascii="宋体" w:hAnsi="宋体" w:eastAsia="宋体" w:cs="宋体"/>
                <w:color w:val="auto"/>
                <w:kern w:val="2"/>
                <w:sz w:val="20"/>
                <w:szCs w:val="20"/>
                <w:highlight w:val="none"/>
                <w:lang w:val="en-US" w:eastAsia="zh-CN" w:bidi="zh-CN"/>
              </w:rPr>
              <w:t>尘土量</w:t>
            </w:r>
          </w:p>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rPr>
                <w:rFonts w:hint="default" w:ascii="Calibri" w:hAnsi="Calibri" w:eastAsia="宋体" w:cs="Times New Roman"/>
                <w:color w:val="auto"/>
                <w:kern w:val="2"/>
                <w:sz w:val="20"/>
                <w:szCs w:val="20"/>
                <w:highlight w:val="none"/>
                <w:lang w:val="en-US" w:eastAsia="zh-CN"/>
              </w:rPr>
            </w:pPr>
            <w:r>
              <w:rPr>
                <w:rFonts w:hint="eastAsia" w:ascii="Calibri" w:hAnsi="Calibri" w:eastAsia="宋体" w:cs="Times New Roman"/>
                <w:color w:val="auto"/>
                <w:kern w:val="2"/>
                <w:sz w:val="20"/>
                <w:szCs w:val="20"/>
                <w:highlight w:val="none"/>
                <w:vertAlign w:val="baseline"/>
                <w:lang w:val="en-US" w:eastAsia="zh-CN"/>
              </w:rPr>
              <w:t>（千克/500平方米）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dxa"/>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一级</w:t>
            </w:r>
          </w:p>
        </w:tc>
        <w:tc>
          <w:tcPr>
            <w:tcW w:w="2055"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≤2</w:t>
            </w:r>
          </w:p>
        </w:tc>
        <w:tc>
          <w:tcPr>
            <w:tcW w:w="1912"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≤1</w:t>
            </w:r>
          </w:p>
        </w:tc>
        <w:tc>
          <w:tcPr>
            <w:tcW w:w="1643"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无</w:t>
            </w:r>
          </w:p>
        </w:tc>
        <w:tc>
          <w:tcPr>
            <w:tcW w:w="1767"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dxa"/>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二级</w:t>
            </w:r>
          </w:p>
        </w:tc>
        <w:tc>
          <w:tcPr>
            <w:tcW w:w="2055"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≤3</w:t>
            </w:r>
          </w:p>
        </w:tc>
        <w:tc>
          <w:tcPr>
            <w:tcW w:w="1912"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≤2</w:t>
            </w:r>
          </w:p>
        </w:tc>
        <w:tc>
          <w:tcPr>
            <w:tcW w:w="1643"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无</w:t>
            </w:r>
          </w:p>
        </w:tc>
        <w:tc>
          <w:tcPr>
            <w:tcW w:w="1767"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dxa"/>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三级</w:t>
            </w:r>
          </w:p>
        </w:tc>
        <w:tc>
          <w:tcPr>
            <w:tcW w:w="2055"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≤4</w:t>
            </w:r>
          </w:p>
        </w:tc>
        <w:tc>
          <w:tcPr>
            <w:tcW w:w="1912"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≤4</w:t>
            </w:r>
          </w:p>
        </w:tc>
        <w:tc>
          <w:tcPr>
            <w:tcW w:w="1643"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无</w:t>
            </w:r>
          </w:p>
        </w:tc>
        <w:tc>
          <w:tcPr>
            <w:tcW w:w="1767"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dxa"/>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四级</w:t>
            </w:r>
          </w:p>
        </w:tc>
        <w:tc>
          <w:tcPr>
            <w:tcW w:w="2055"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≤6</w:t>
            </w:r>
          </w:p>
        </w:tc>
        <w:tc>
          <w:tcPr>
            <w:tcW w:w="1912"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≤5</w:t>
            </w:r>
          </w:p>
        </w:tc>
        <w:tc>
          <w:tcPr>
            <w:tcW w:w="1643"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0.5</w:t>
            </w:r>
          </w:p>
        </w:tc>
        <w:tc>
          <w:tcPr>
            <w:tcW w:w="1767"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jc w:val="center"/>
              <w:textAlignment w:val="auto"/>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≤25</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w:t>
      </w:r>
      <w:r>
        <w:rPr>
          <w:rFonts w:hint="default" w:ascii="宋体" w:hAnsi="宋体" w:eastAsia="宋体" w:cs="宋体"/>
          <w:color w:val="auto"/>
          <w:kern w:val="2"/>
          <w:sz w:val="21"/>
          <w:szCs w:val="21"/>
          <w:highlight w:val="none"/>
          <w:lang w:val="en-US" w:eastAsia="zh-CN" w:bidi="zh-CN"/>
        </w:rPr>
        <w:t>夜间保洁时，一级清扫保洁道路的路面垃圾杂物(仅计塑料袋、纸屑、饭盒等超过火柴盒大小的较大垃圾)每500平方米不超过8件。</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(二)交通护栏、灯杆保洁质量要求</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1、交通护栏无明显积尘、无明显污迹</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w:t>
      </w:r>
      <w:r>
        <w:rPr>
          <w:rFonts w:hint="default" w:ascii="宋体" w:hAnsi="宋体" w:eastAsia="宋体" w:cs="宋体"/>
          <w:color w:val="auto"/>
          <w:kern w:val="2"/>
          <w:sz w:val="21"/>
          <w:szCs w:val="21"/>
          <w:highlight w:val="none"/>
          <w:lang w:val="en-US" w:eastAsia="zh-CN" w:bidi="zh-CN"/>
        </w:rPr>
        <w:t>、交通护栏无明显积尘、无明显污迹</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(三)道路两侧休闲椅、广告牌、路牌等设施的清理应符合以下要求</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1、道路两侧休闲椅、康体娱乐设施、雕塑等无明显积尘、无明显污迹</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2、道路两侧广告牌、路牌、邮筒、读报栏、站亭等设施无污迹、积尘</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(四)人行天桥的保洁应符合以下要求</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w:t>
      </w:r>
      <w:r>
        <w:rPr>
          <w:rFonts w:hint="default" w:ascii="宋体" w:hAnsi="宋体" w:eastAsia="宋体" w:cs="宋体"/>
          <w:color w:val="auto"/>
          <w:kern w:val="2"/>
          <w:sz w:val="21"/>
          <w:szCs w:val="21"/>
          <w:highlight w:val="none"/>
          <w:lang w:val="en-US" w:eastAsia="zh-CN" w:bidi="zh-CN"/>
        </w:rPr>
        <w:t>人行天桥应与所连接的道路保洁质量标准相同，人行天桥桥面应无明显垃圾，注意清理口香糖渣等污垢，做到桥面见本色，阶梯、扶手、栏杆应干净整洁，无乱张贴、乱涂写</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2、人行天桥雨篷应定期进行清理，确保无暴露垃圾；</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(五)地下人行通道的保洁应符合以下要求</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地下人行通道应与所连接的道路保洁质量标准相同，地下人行通道地面、阶梯、扶手应干净，注意清理口香糖渣等污垢，做到地面见本色，两侧墙面无乱张贴、乱涂写</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（六）</w:t>
      </w:r>
      <w:r>
        <w:rPr>
          <w:rFonts w:hint="default" w:ascii="宋体" w:hAnsi="宋体" w:eastAsia="宋体" w:cs="宋体"/>
          <w:color w:val="auto"/>
          <w:kern w:val="2"/>
          <w:sz w:val="21"/>
          <w:szCs w:val="21"/>
          <w:highlight w:val="none"/>
          <w:lang w:val="en-US" w:eastAsia="zh-CN" w:bidi="zh-CN"/>
        </w:rPr>
        <w:t>车行隧道的保洁应符合以下要求</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1、车行隧道的路面应干净，无积存污水和垃圾</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2、隧道两壁应无明显污物</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3、隧道进出口保洁质量应与所连接路段保洁质量标准相同。</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(七)小广告清理应符合以下要求</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1、一级区域的建筑物外立面高度2米以下部分每日清理2次小广告</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2、二级、三级区域的建筑物外立面高度2米以下部分每日清理1次小广告</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3、其他区域每周清理2次小广告</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4、日常巡回保洁时一经发现小广告，须立即清除。</w:t>
      </w:r>
    </w:p>
    <w:p>
      <w:pPr>
        <w:widowControl w:val="0"/>
        <w:adjustRightInd/>
        <w:snapToGrid/>
        <w:spacing w:after="0"/>
        <w:jc w:val="both"/>
        <w:rPr>
          <w:rFonts w:hint="default" w:ascii="Calibri" w:hAnsi="Calibri" w:eastAsia="宋体" w:cs="Times New Roman"/>
          <w:color w:val="auto"/>
          <w:kern w:val="2"/>
          <w:sz w:val="21"/>
          <w:szCs w:val="24"/>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firstLine="0" w:firstLineChars="0"/>
        <w:jc w:val="both"/>
        <w:textAlignment w:val="auto"/>
        <w:rPr>
          <w:rFonts w:hint="default" w:ascii="Calibri" w:hAnsi="Calibri" w:eastAsia="宋体" w:cs="Times New Roman"/>
          <w:b/>
          <w:bCs/>
          <w:color w:val="auto"/>
          <w:kern w:val="2"/>
          <w:sz w:val="22"/>
          <w:szCs w:val="28"/>
          <w:highlight w:val="none"/>
          <w:lang w:val="en-US" w:eastAsia="zh-CN"/>
        </w:rPr>
      </w:pPr>
      <w:r>
        <w:rPr>
          <w:rFonts w:hint="eastAsia" w:ascii="Calibri" w:hAnsi="Calibri" w:eastAsia="宋体" w:cs="Times New Roman"/>
          <w:b/>
          <w:bCs/>
          <w:color w:val="auto"/>
          <w:kern w:val="2"/>
          <w:sz w:val="24"/>
          <w:szCs w:val="32"/>
          <w:highlight w:val="none"/>
          <w:lang w:val="en-US" w:eastAsia="zh-CN"/>
        </w:rPr>
        <w:t>环卫保洁标准与质量要求</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(一)</w:t>
      </w:r>
      <w:r>
        <w:rPr>
          <w:rFonts w:hint="default" w:ascii="宋体" w:hAnsi="宋体" w:eastAsia="宋体" w:cs="宋体"/>
          <w:color w:val="auto"/>
          <w:kern w:val="2"/>
          <w:sz w:val="21"/>
          <w:szCs w:val="21"/>
          <w:highlight w:val="none"/>
          <w:lang w:val="en-US" w:eastAsia="zh-CN" w:bidi="zh-CN"/>
        </w:rPr>
        <w:t>一级区域</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1、景观道路、重要道路</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(1)清扫作业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机动车道机械化清扫率达到100%，每日清扫次数不少于2次</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非机动车道及人行道实行小型机械和人工配合清扫或实行人工清扫，每日清扫次数不少于2次。</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(2)保洁作业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机动车道使用机械化车辆辅以人工保洁方式进行保洁，非机动车道、人行道实行人工保洁作业，保洁时间18小时。</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(3)清洗作业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机动车道使用高压冲洗车进行冲洗作业，冲洗次数不少于1次/日</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路沿石冲洗使用小型冲洗车作业，冲洗次数不少于1次/日</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人行道冲刷除尘采用手推式扫(洗)地机进行洗刷或高压水枪进行洗刷，不少于1次/日，果皮箱、垃圾桶、灯杆、护栏清洗频次不少于1次/周。</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(4)洒水喷雾降尘作业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主干道洒水次数不少于4次/日，辅道洒水次数不少于2次/日，喷雾降尘不少于2次/日，阴雨天气可减少或不进行洒水喷雾降尘。</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(5)绿化带、树池、背景林清理作业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宜采用鼓风机或低压冲水枪进行清理，配合人工保洁，保洁时间不少于12小时。</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(6)果皮箱、垃圾桶清掏擦拭作业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清掏果皮箱、垃圾桶频次不少于3次/日，并在清掏后进行擦拭，确保无明显污渍。</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(7)沉沙井清理作业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采用人工作业方式清理,正常季节(1-4月、9-12月)清理频次为1次/周</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雨季(5-8月)清理频次为2次/周;遇暴雨等恶劣天气需及时清理。</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2、繁华商业步行街</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(1)清扫作业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实行小型机械和人工配合清扫或实行人工清扫，每日清扫次数不少于2次。</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(2)保洁作业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使用小型机械化车辆辅以人工保洁方式或采取人工保洁方式作业，保洁时间18小时。</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(3)清洗作业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使用小型冲洗车或人工使用高压水枪作业，每日冲洗次数不少于1次</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果皮箱、垃圾桶、灯杆、护栏清洗频次不少于1次/周。</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(4)洒水喷雾降尘作业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喷雾降尘不少于4次/日，鼓励采用固定式喷雾机进行喷雾降尘，阴雨天气可减少或不进行洒水喷雾降尘。</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(5)绿化带、树池清理作业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宜采用人工作业方式进行清理，清理次数不少于3次/日。</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(6)果皮箱、垃圾桶清掏擦拭作业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清掏果皮箱、垃圾桶频次不少于3次/日，并在清掏后进行擦拭，确保无明显</w:t>
      </w:r>
      <w:r>
        <w:rPr>
          <w:rFonts w:hint="eastAsia" w:ascii="宋体" w:hAnsi="宋体" w:eastAsia="宋体" w:cs="宋体"/>
          <w:color w:val="auto"/>
          <w:kern w:val="2"/>
          <w:sz w:val="21"/>
          <w:szCs w:val="21"/>
          <w:highlight w:val="none"/>
          <w:lang w:val="en-US" w:eastAsia="zh-CN" w:bidi="zh-CN"/>
        </w:rPr>
        <w:t>污渍：</w:t>
      </w:r>
      <w:r>
        <w:rPr>
          <w:rFonts w:hint="default" w:ascii="宋体" w:hAnsi="宋体" w:eastAsia="宋体" w:cs="宋体"/>
          <w:color w:val="auto"/>
          <w:kern w:val="2"/>
          <w:sz w:val="21"/>
          <w:szCs w:val="21"/>
          <w:highlight w:val="none"/>
          <w:lang w:val="en-US" w:eastAsia="zh-CN" w:bidi="zh-CN"/>
        </w:rPr>
        <w:t>实行上门收集垃圾，每日上门收集垃圾不少于3次。</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(7)沉沙井清理作业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采用人工作业方式清理,正常季节(1-4月、9-12月)清理频次为1次/周</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雨季(5-8月)清理频次为2次/周</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遇暴雨等恶劣天气需及时清理。</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3、市、镇街(园区)中心广场</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(1)清扫作业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实行小型机械和人工配合清扫或实行人工清扫，每日清扫次数不少于2次。</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(2)保洁作业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采取人工保洁方式作业，保洁时间18小时。</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(3)清洗作业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使用小型冲洗车或人工使用高压水枪作业, 每日冲洗次数不少于1次</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果皮箱、垃圾桶、灯杆、护栏清洗频次不少于1次/周。</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(4)</w:t>
      </w:r>
      <w:r>
        <w:rPr>
          <w:rFonts w:hint="eastAsia" w:ascii="宋体" w:hAnsi="宋体" w:eastAsia="宋体" w:cs="宋体"/>
          <w:color w:val="auto"/>
          <w:kern w:val="2"/>
          <w:sz w:val="21"/>
          <w:szCs w:val="21"/>
          <w:highlight w:val="none"/>
          <w:lang w:val="en-US" w:eastAsia="zh-CN" w:bidi="zh-CN"/>
        </w:rPr>
        <w:t>洒</w:t>
      </w:r>
      <w:r>
        <w:rPr>
          <w:rFonts w:hint="default" w:ascii="宋体" w:hAnsi="宋体" w:eastAsia="宋体" w:cs="宋体"/>
          <w:color w:val="auto"/>
          <w:kern w:val="2"/>
          <w:sz w:val="21"/>
          <w:szCs w:val="21"/>
          <w:highlight w:val="none"/>
          <w:lang w:val="en-US" w:eastAsia="zh-CN" w:bidi="zh-CN"/>
        </w:rPr>
        <w:t>水喷雾降尘作业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喷雾降尘不少于4次/日，鼓励采用固定式喷雾机进行喷雾降尘，阴雨天气可减少或不进行洒水喷雾降尘。</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(5)绿化带、树池清理作业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宜采用人工作业方式进行清理,清理次数不少于2次/日。</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(6)果皮箱、垃圾桶清掏擦拭作业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清掏果皮箱</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垃圾桶频次不少于3次/日，并在清掏后进行擦拭，确保无明显</w:t>
      </w:r>
      <w:r>
        <w:rPr>
          <w:rFonts w:hint="eastAsia" w:ascii="宋体" w:hAnsi="宋体" w:eastAsia="宋体" w:cs="宋体"/>
          <w:color w:val="auto"/>
          <w:kern w:val="2"/>
          <w:sz w:val="21"/>
          <w:szCs w:val="21"/>
          <w:highlight w:val="none"/>
          <w:lang w:val="en-US" w:eastAsia="zh-CN" w:bidi="zh-CN"/>
        </w:rPr>
        <w:t>污渍</w:t>
      </w:r>
      <w:r>
        <w:rPr>
          <w:rFonts w:hint="default"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(7)沉沙井清理作业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采用人工作业方式清理,正常季节(1-4月、9-12 月)清理频次为1次/周</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雨季(5-8月)清理频次为2次/周</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遇暴雨等恶劣天气需及时清理</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(二)二级区域</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w:t>
      </w:r>
      <w:r>
        <w:rPr>
          <w:rFonts w:hint="eastAsia" w:ascii="宋体" w:hAnsi="宋体" w:eastAsia="宋体" w:cs="宋体"/>
          <w:color w:val="auto"/>
          <w:kern w:val="2"/>
          <w:sz w:val="21"/>
          <w:szCs w:val="21"/>
          <w:highlight w:val="none"/>
          <w:lang w:val="en-US" w:eastAsia="zh-CN" w:bidi="zh-CN"/>
        </w:rPr>
        <w:t>一</w:t>
      </w:r>
      <w:r>
        <w:rPr>
          <w:rFonts w:hint="default" w:ascii="宋体" w:hAnsi="宋体" w:eastAsia="宋体" w:cs="宋体"/>
          <w:color w:val="auto"/>
          <w:kern w:val="2"/>
          <w:sz w:val="21"/>
          <w:szCs w:val="21"/>
          <w:highlight w:val="none"/>
          <w:lang w:val="en-US" w:eastAsia="zh-CN" w:bidi="zh-CN"/>
        </w:rPr>
        <w:t>般城市道路、国道、重要省道、重要县道</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(1)清扫作业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机动车道机械化清扫率达到95%以上，不能机械化作业区域采用人工清扫作业，每日清扫次数不少于2次</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非机动车道及人行道实行小型机械和人工配合清扫或实行人工清扫，每日清扫次数不少于2次。</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(2)保洁作业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机动车道使用机械化车辆辅以人工保洁方式进行保洁，非机动车道、人行道实行人工保洁作业，保洁时间</w:t>
      </w:r>
      <w:r>
        <w:rPr>
          <w:rFonts w:hint="eastAsia" w:ascii="宋体" w:hAnsi="宋体" w:eastAsia="宋体" w:cs="宋体"/>
          <w:color w:val="auto"/>
          <w:kern w:val="2"/>
          <w:sz w:val="21"/>
          <w:szCs w:val="21"/>
          <w:highlight w:val="none"/>
          <w:lang w:val="en-US" w:eastAsia="zh-CN" w:bidi="zh-CN"/>
        </w:rPr>
        <w:t>16小时。</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(3)清洗作业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机动车道使用高压冲洗车进行冲洗作业，冲洗次数不少于1次/2日</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路沿石冲洗使用小型冲洗车作业，冲洗次数不少于1次/2日</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人行道冲刷除尘采用手推式扫(洗)地机进行洗刷或高压水枪进行洗刷，不少于1次/2日，果皮箱、垃圾桶、灯杆、护栏清洗频次不少于1次/周。</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(4)</w:t>
      </w:r>
      <w:r>
        <w:rPr>
          <w:rFonts w:hint="eastAsia" w:ascii="宋体" w:hAnsi="宋体" w:eastAsia="宋体" w:cs="宋体"/>
          <w:color w:val="auto"/>
          <w:kern w:val="2"/>
          <w:sz w:val="21"/>
          <w:szCs w:val="21"/>
          <w:highlight w:val="none"/>
          <w:lang w:val="en-US" w:eastAsia="zh-CN" w:bidi="zh-CN"/>
        </w:rPr>
        <w:t>洒</w:t>
      </w:r>
      <w:r>
        <w:rPr>
          <w:rFonts w:hint="default" w:ascii="宋体" w:hAnsi="宋体" w:eastAsia="宋体" w:cs="宋体"/>
          <w:color w:val="auto"/>
          <w:kern w:val="2"/>
          <w:sz w:val="21"/>
          <w:szCs w:val="21"/>
          <w:highlight w:val="none"/>
          <w:lang w:val="en-US" w:eastAsia="zh-CN" w:bidi="zh-CN"/>
        </w:rPr>
        <w:t>水喷雾降尘作业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主干道</w:t>
      </w:r>
      <w:r>
        <w:rPr>
          <w:rFonts w:hint="eastAsia" w:ascii="宋体" w:hAnsi="宋体" w:eastAsia="宋体" w:cs="宋体"/>
          <w:color w:val="auto"/>
          <w:kern w:val="2"/>
          <w:sz w:val="21"/>
          <w:szCs w:val="21"/>
          <w:highlight w:val="none"/>
          <w:lang w:val="en-US" w:eastAsia="zh-CN" w:bidi="zh-CN"/>
        </w:rPr>
        <w:t>洒</w:t>
      </w:r>
      <w:r>
        <w:rPr>
          <w:rFonts w:hint="default" w:ascii="宋体" w:hAnsi="宋体" w:eastAsia="宋体" w:cs="宋体"/>
          <w:color w:val="auto"/>
          <w:kern w:val="2"/>
          <w:sz w:val="21"/>
          <w:szCs w:val="21"/>
          <w:highlight w:val="none"/>
          <w:lang w:val="en-US" w:eastAsia="zh-CN" w:bidi="zh-CN"/>
        </w:rPr>
        <w:t>水次数不少于3次/日，辅道</w:t>
      </w:r>
      <w:r>
        <w:rPr>
          <w:rFonts w:hint="eastAsia" w:ascii="宋体" w:hAnsi="宋体" w:eastAsia="宋体" w:cs="宋体"/>
          <w:color w:val="auto"/>
          <w:kern w:val="2"/>
          <w:sz w:val="21"/>
          <w:szCs w:val="21"/>
          <w:highlight w:val="none"/>
          <w:lang w:val="en-US" w:eastAsia="zh-CN" w:bidi="zh-CN"/>
        </w:rPr>
        <w:t>洒</w:t>
      </w:r>
      <w:r>
        <w:rPr>
          <w:rFonts w:hint="default" w:ascii="宋体" w:hAnsi="宋体" w:eastAsia="宋体" w:cs="宋体"/>
          <w:color w:val="auto"/>
          <w:kern w:val="2"/>
          <w:sz w:val="21"/>
          <w:szCs w:val="21"/>
          <w:highlight w:val="none"/>
          <w:lang w:val="en-US" w:eastAsia="zh-CN" w:bidi="zh-CN"/>
        </w:rPr>
        <w:t>水次数不少于1次/日，喷雾降尘不少于2次/日，阴雨天气可减少或不进行洒水喷雾降尘。</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(5)绿化带、树池、背景林清理作业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宜采用鼓风机或低压冲水枪进行清理，配合人工进行保洁，保洁时间不少于12小时/日。</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(6)果皮箱、垃圾桶清掏擦拭作业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清掏果皮箱、垃圾桶频次不少于2次/日，并在清掏后进行擦拭，确保无明显污渍。</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(7)沉沙井清理作业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采用人工作业方式清理,正常季节(1-4月、9-12月)清理频次为1次/周</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雨季(5-8月)清理频次为2次/周</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遇暴雨等恶劣天气需及时清理。</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w:t>
      </w:r>
      <w:r>
        <w:rPr>
          <w:rFonts w:hint="eastAsia" w:ascii="宋体" w:hAnsi="宋体" w:eastAsia="宋体" w:cs="宋体"/>
          <w:color w:val="auto"/>
          <w:kern w:val="2"/>
          <w:sz w:val="21"/>
          <w:szCs w:val="21"/>
          <w:highlight w:val="none"/>
          <w:lang w:val="en-US" w:eastAsia="zh-CN" w:bidi="zh-CN"/>
        </w:rPr>
        <w:t>一</w:t>
      </w:r>
      <w:r>
        <w:rPr>
          <w:rFonts w:hint="default" w:ascii="宋体" w:hAnsi="宋体" w:eastAsia="宋体" w:cs="宋体"/>
          <w:color w:val="auto"/>
          <w:kern w:val="2"/>
          <w:sz w:val="21"/>
          <w:szCs w:val="21"/>
          <w:highlight w:val="none"/>
          <w:lang w:val="en-US" w:eastAsia="zh-CN" w:bidi="zh-CN"/>
        </w:rPr>
        <w:t>般商业街</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(1)清扫作业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实行小型机械和人工配合清扫或实行人工清扫，每日清扫次数不少于2次。</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(2)保洁作业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使用小型机械化车辆辅以人工保洁方式或采取人工保洁方式作业，保洁时间</w:t>
      </w:r>
      <w:r>
        <w:rPr>
          <w:rFonts w:hint="eastAsia" w:ascii="宋体" w:hAnsi="宋体" w:eastAsia="宋体" w:cs="宋体"/>
          <w:color w:val="auto"/>
          <w:kern w:val="2"/>
          <w:sz w:val="21"/>
          <w:szCs w:val="21"/>
          <w:highlight w:val="none"/>
          <w:lang w:val="en-US" w:eastAsia="zh-CN" w:bidi="zh-CN"/>
        </w:rPr>
        <w:t>16</w:t>
      </w:r>
      <w:r>
        <w:rPr>
          <w:rFonts w:hint="default" w:ascii="宋体" w:hAnsi="宋体" w:eastAsia="宋体" w:cs="宋体"/>
          <w:color w:val="auto"/>
          <w:kern w:val="2"/>
          <w:sz w:val="21"/>
          <w:szCs w:val="21"/>
          <w:highlight w:val="none"/>
          <w:lang w:val="en-US" w:eastAsia="zh-CN" w:bidi="zh-CN"/>
        </w:rPr>
        <w:t>小时。</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(3)清洗作业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使用小型冲洗车或人工使用高压水枪作业，冲洗次数不少于1次/2日</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果皮箱、垃圾桶、灯杆、护栏清洗频次不少于1次/周。</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(4)洒水喷雾降尘作业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洒水次数不少于2次/日</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喷雾降尘不少于2次/日，阴雨天气可减少或不进行洒水喷雾降尘。</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(5)绿化带、树池清理作业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宜采用人工作业方式进行清理，清理次数不少于1次/日。</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(6)果皮箱、垃圾桶清掏擦拭作业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清掏果皮箱、垃圾桶频次不少于3次/日，并在清掏后进行擦拭，确保无明显污渍</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实行上门收集垃圾，每日上门收集垃圾不少于2次。</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(7)沉沙井清理作业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采用人工作业方式清理,正常季节(1-4月、9-12月)清理频次为1次/周;雨季(5-8月)清理频次为2次/周</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遇暴雨等恶劣天气需及时清理。</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3、村(社区)群众广场、一般城市公园</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(1)清扫作业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实行小型机械和人工配合清扫或实行人工清扫，每日清扫次数不少于2次。</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(2)保洁作业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采取人工保洁方式作业，保洁时间16小时。</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(3)清洗作业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使用小型冲洗车或人工使用高压水枪作业，每周冲洗次数不少于3次</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果皮箱、垃圾桶、灯杆、护栏清洗频次不少于1次/周。</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(4)洒水喷雾降尘作业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喷雾降尘不少于2次/日，鼓励采用固定式喷雾机进行喷雾降尘，阴雨天气可减少或不进行洒水喷雾降尘。</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(5)绿化带、树池清理作业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宜采用人工作业方式进行清理,清理次数不少于1次/日。</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(6)果皮箱、垃圾桶清掏擦拭作业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清掏果皮箱、垃圾桶频次不少于2次/日，并在清掏后进行擦拭，确保无明显污渍</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(7)沉沙井清理作业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采用人工作业方式清理,正常季节(1-4月、9-12月)清理频次为1次/周</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雨季(5-8月)清理频次为2次/周;遇暴雨等恶劣天气需及时清理。</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(三)三级区域</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1、一般省道、一般县道、乡村公路</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(1)清扫作业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机械化清扫率达到90%以上，不能机械化作业区域采用人工进行清扫作业，每日清扫次数不少于1次</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人行道实行人工清扫，每日清扫次数不少于1次。</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(2)保洁作业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机动车道使用机械化车辆辅以人工保洁方式进行保洁，人行道实行人工保洁作业，保洁时间12小时。</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(3)清洗作业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机动车道使用高压冲洗车进行冲洗作业，冲洗次数不少于1次/3日</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路沿石冲洗使用小型冲洗车作业，冲洗次数不少于1次/3日;人行道冲刷除尘采用高压水枪进行洗刷，不少于1次/月，果皮箱、垃圾桶、灯杆、护栏清洗频次不少于1次/周。</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(4)洒水作业</w:t>
      </w:r>
      <w:r>
        <w:rPr>
          <w:rFonts w:hint="eastAsia" w:ascii="宋体" w:hAnsi="宋体" w:eastAsia="宋体" w:cs="宋体"/>
          <w:color w:val="auto"/>
          <w:kern w:val="2"/>
          <w:sz w:val="21"/>
          <w:szCs w:val="21"/>
          <w:highlight w:val="none"/>
          <w:lang w:val="en-US" w:eastAsia="zh-CN" w:bidi="zh-CN"/>
        </w:rPr>
        <w:t>：洒</w:t>
      </w:r>
      <w:r>
        <w:rPr>
          <w:rFonts w:hint="default" w:ascii="宋体" w:hAnsi="宋体" w:eastAsia="宋体" w:cs="宋体"/>
          <w:color w:val="auto"/>
          <w:kern w:val="2"/>
          <w:sz w:val="21"/>
          <w:szCs w:val="21"/>
          <w:highlight w:val="none"/>
          <w:lang w:val="en-US" w:eastAsia="zh-CN" w:bidi="zh-CN"/>
        </w:rPr>
        <w:t>水次数不少于2次/日，阴雨天气可减少或不进行洒水。</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(5)绿化带、树池、背景林清理作业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宜采用人工对白色垃圾进行清理，保洁时间不少于8小时/日.</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(6)果皮箱、垃圾桶清掏擦拭作业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清掏果皮箱、垃圾桶频次不少于1次/日，并在清掏后进行擦拭，确保无明显</w:t>
      </w:r>
      <w:r>
        <w:rPr>
          <w:rFonts w:hint="eastAsia" w:ascii="宋体" w:hAnsi="宋体" w:eastAsia="宋体" w:cs="宋体"/>
          <w:color w:val="auto"/>
          <w:kern w:val="2"/>
          <w:sz w:val="21"/>
          <w:szCs w:val="21"/>
          <w:highlight w:val="none"/>
          <w:lang w:val="en-US" w:eastAsia="zh-CN" w:bidi="zh-CN"/>
        </w:rPr>
        <w:t>污渍。</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(7)沉沙井清理作业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采用人工作业方式清理,正常季节(1-4.月、9-12月)清理频次为1次/周</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雨季(5-8月)清理频次为2次/周</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遇暴雨等恶劣天气需及时清理。</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2、村(社区)中心区域及居住区巷道</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(1)清扫作业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采用人工进行清扫作业，每日清扫次数不少于2次.</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(2)保洁作业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实行人工保洁作业，保洁时间16小时。</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(3)清洗作业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使用高压水枪对明显污渍进行冲洗作业，冲洗次数不少于3次/周</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果皮箱、垃圾桶、灯杆、护栏滑洗频次不少于1次/周</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(4)绿化带、树池清理作业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宜采用人工对白色垃圾进行清理，保洁时间不少于8小时/日</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(6)果皮箱、垃圾桶清掏擦拭作业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清掏果皮箱、垃圾桶频次不少于2次1日，并在清掏后进行擦拭，确保无明显污渍。</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(7)沉沙井清理作业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采用人工作业方式清理,正常季节(1-4月、9-12月)清理频次为1次/周</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雨季(5-8月)清理频次为2次/周</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遇暴雨等恶劣天气需及时清理。</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(四)四级区域</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位于远离居住区、企事业单位和公共场所的人流量、车流量较少的道路，无排水管道、路沿石及人行道未硬化等简陋道路。</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(1)清扫作业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实行人工清扫，清扫次数不少于1次</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(2)保洁作业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实行人工保洁作业，清理白色垃圾，保洁时间8小时</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(3)清洗作业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使用高压水枪对明显</w:t>
      </w:r>
      <w:r>
        <w:rPr>
          <w:rFonts w:hint="eastAsia" w:ascii="宋体" w:hAnsi="宋体" w:eastAsia="宋体" w:cs="宋体"/>
          <w:color w:val="auto"/>
          <w:kern w:val="2"/>
          <w:sz w:val="21"/>
          <w:szCs w:val="21"/>
          <w:highlight w:val="none"/>
          <w:lang w:val="en-US" w:eastAsia="zh-CN" w:bidi="zh-CN"/>
        </w:rPr>
        <w:t>污渍</w:t>
      </w:r>
      <w:r>
        <w:rPr>
          <w:rFonts w:hint="default" w:ascii="宋体" w:hAnsi="宋体" w:eastAsia="宋体" w:cs="宋体"/>
          <w:color w:val="auto"/>
          <w:kern w:val="2"/>
          <w:sz w:val="21"/>
          <w:szCs w:val="21"/>
          <w:highlight w:val="none"/>
          <w:lang w:val="en-US" w:eastAsia="zh-CN" w:bidi="zh-CN"/>
        </w:rPr>
        <w:t>进行冲洗作业,冲洗次数不少于2次/月</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果皮箱、垃圾桶、灯杆、护栏清洗频次不少于2次/月。</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(4)绿化带、树池、背景林清理作业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采用人工对白色垃圾进行清理，保洁时间不少于6小时/日</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(5)果皮箱、垃圾桶清掏擦拭作业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清掏果皮箱、垃圾桶频次不少于1次/日，并在清掏后进行擦拭，确保无明显污渍</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(6)沉沙井清理作业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采用人工作业方式清理，正常季节(1-4月、9-12月)清理频次为1次/周</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雨季(5-8月)清理频次为2次/周;遇暴雨等恶劣天气需及时清理。</w:t>
      </w:r>
    </w:p>
    <w:p>
      <w:pPr>
        <w:keepNext w:val="0"/>
        <w:keepLines w:val="0"/>
        <w:pageBreakBefore w:val="0"/>
        <w:widowControl w:val="0"/>
        <w:numPr>
          <w:ilvl w:val="0"/>
          <w:numId w:val="0"/>
        </w:numPr>
        <w:kinsoku/>
        <w:wordWrap/>
        <w:overflowPunct/>
        <w:topLinePunct w:val="0"/>
        <w:autoSpaceDE/>
        <w:autoSpaceDN/>
        <w:bidi w:val="0"/>
        <w:adjustRightInd/>
        <w:snapToGrid/>
        <w:spacing w:after="0"/>
        <w:jc w:val="both"/>
        <w:textAlignment w:val="auto"/>
        <w:rPr>
          <w:rFonts w:hint="default" w:ascii="Calibri" w:hAnsi="Calibri" w:eastAsia="宋体" w:cs="Times New Roman"/>
          <w:b/>
          <w:bCs/>
          <w:color w:val="auto"/>
          <w:kern w:val="2"/>
          <w:sz w:val="22"/>
          <w:szCs w:val="28"/>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firstLine="0" w:firstLineChars="0"/>
        <w:jc w:val="both"/>
        <w:textAlignment w:val="auto"/>
        <w:rPr>
          <w:rFonts w:hint="default" w:ascii="Calibri" w:hAnsi="Calibri" w:eastAsia="宋体" w:cs="Times New Roman"/>
          <w:b/>
          <w:bCs/>
          <w:color w:val="auto"/>
          <w:kern w:val="2"/>
          <w:sz w:val="22"/>
          <w:szCs w:val="28"/>
          <w:highlight w:val="none"/>
          <w:lang w:val="en-US" w:eastAsia="zh-CN"/>
        </w:rPr>
      </w:pPr>
      <w:r>
        <w:rPr>
          <w:rFonts w:hint="eastAsia" w:ascii="Calibri" w:hAnsi="Calibri" w:eastAsia="宋体" w:cs="Times New Roman"/>
          <w:b/>
          <w:bCs/>
          <w:color w:val="auto"/>
          <w:kern w:val="2"/>
          <w:sz w:val="24"/>
          <w:szCs w:val="32"/>
          <w:highlight w:val="none"/>
          <w:lang w:val="en-US" w:eastAsia="zh-CN"/>
        </w:rPr>
        <w:t>垃圾收集质量要求</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1</w:t>
      </w:r>
      <w:r>
        <w:rPr>
          <w:rFonts w:hint="default" w:ascii="宋体" w:hAnsi="宋体" w:eastAsia="宋体" w:cs="宋体"/>
          <w:color w:val="auto"/>
          <w:kern w:val="2"/>
          <w:sz w:val="21"/>
          <w:szCs w:val="21"/>
          <w:highlight w:val="none"/>
          <w:lang w:val="en-US" w:eastAsia="zh-CN" w:bidi="zh-CN"/>
        </w:rPr>
        <w:t>)垃圾收集容器应定位设置，摆放整齐。设置点及周围2</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3m内应整洁，无散落、存留垃圾和污水。</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2</w:t>
      </w:r>
      <w:r>
        <w:rPr>
          <w:rFonts w:hint="default" w:ascii="宋体" w:hAnsi="宋体" w:eastAsia="宋体" w:cs="宋体"/>
          <w:color w:val="auto"/>
          <w:kern w:val="2"/>
          <w:sz w:val="21"/>
          <w:szCs w:val="21"/>
          <w:highlight w:val="none"/>
          <w:lang w:val="en-US" w:eastAsia="zh-CN" w:bidi="zh-CN"/>
        </w:rPr>
        <w:t>)垃圾收集容器应无残缺、破损，封闭性好，外体干净。构筑物内外墙面不得有明显积灰、污物。</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3</w:t>
      </w:r>
      <w:r>
        <w:rPr>
          <w:rFonts w:hint="default" w:ascii="宋体" w:hAnsi="宋体" w:eastAsia="宋体" w:cs="宋体"/>
          <w:color w:val="auto"/>
          <w:kern w:val="2"/>
          <w:sz w:val="21"/>
          <w:szCs w:val="21"/>
          <w:highlight w:val="none"/>
          <w:lang w:val="en-US" w:eastAsia="zh-CN" w:bidi="zh-CN"/>
        </w:rPr>
        <w:t>)特种垃圾的收集，必须用设有明显标志、能防止污染打散的密封容器。</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4</w:t>
      </w:r>
      <w:r>
        <w:rPr>
          <w:rFonts w:hint="default" w:ascii="宋体" w:hAnsi="宋体" w:eastAsia="宋体" w:cs="宋体"/>
          <w:color w:val="auto"/>
          <w:kern w:val="2"/>
          <w:sz w:val="21"/>
          <w:szCs w:val="21"/>
          <w:highlight w:val="none"/>
          <w:lang w:val="en-US" w:eastAsia="zh-CN" w:bidi="zh-CN"/>
        </w:rPr>
        <w:t>)蝇、蚊孽生季节，垃圾收集站(点)，应定时喷</w:t>
      </w:r>
      <w:r>
        <w:rPr>
          <w:rFonts w:hint="eastAsia" w:ascii="宋体" w:hAnsi="宋体" w:eastAsia="宋体" w:cs="宋体"/>
          <w:color w:val="auto"/>
          <w:kern w:val="2"/>
          <w:sz w:val="21"/>
          <w:szCs w:val="21"/>
          <w:highlight w:val="none"/>
          <w:lang w:val="en-US" w:eastAsia="zh-CN" w:bidi="zh-CN"/>
        </w:rPr>
        <w:t>洒</w:t>
      </w:r>
      <w:r>
        <w:rPr>
          <w:rFonts w:hint="default" w:ascii="宋体" w:hAnsi="宋体" w:eastAsia="宋体" w:cs="宋体"/>
          <w:color w:val="auto"/>
          <w:kern w:val="2"/>
          <w:sz w:val="21"/>
          <w:szCs w:val="21"/>
          <w:highlight w:val="none"/>
          <w:lang w:val="en-US" w:eastAsia="zh-CN" w:bidi="zh-CN"/>
        </w:rPr>
        <w:t>消毒、灭蚊蝇药物</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在可视范围内，苍蝇应少于3只/次。</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5</w:t>
      </w:r>
      <w:r>
        <w:rPr>
          <w:rFonts w:hint="default" w:ascii="宋体" w:hAnsi="宋体" w:eastAsia="宋体" w:cs="宋体"/>
          <w:color w:val="auto"/>
          <w:kern w:val="2"/>
          <w:sz w:val="21"/>
          <w:szCs w:val="21"/>
          <w:highlight w:val="none"/>
          <w:lang w:val="en-US" w:eastAsia="zh-CN" w:bidi="zh-CN"/>
        </w:rPr>
        <w:t>)楼房垃圾管道的底层垃圾间应整洁，无散落垃圾和积留污水，无恶臭，基本无蝇</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6</w:t>
      </w:r>
      <w:r>
        <w:rPr>
          <w:rFonts w:hint="default" w:ascii="宋体" w:hAnsi="宋体" w:eastAsia="宋体" w:cs="宋体"/>
          <w:color w:val="auto"/>
          <w:kern w:val="2"/>
          <w:sz w:val="21"/>
          <w:szCs w:val="21"/>
          <w:highlight w:val="none"/>
          <w:lang w:val="en-US" w:eastAsia="zh-CN" w:bidi="zh-CN"/>
        </w:rPr>
        <w:t>)生活垃圾应全部实行容器收集，有条件的地区，可实行分类收集。</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7</w:t>
      </w:r>
      <w:r>
        <w:rPr>
          <w:rFonts w:hint="default" w:ascii="宋体" w:hAnsi="宋体" w:eastAsia="宋体" w:cs="宋体"/>
          <w:color w:val="auto"/>
          <w:kern w:val="2"/>
          <w:sz w:val="21"/>
          <w:szCs w:val="21"/>
          <w:highlight w:val="none"/>
          <w:lang w:val="en-US" w:eastAsia="zh-CN" w:bidi="zh-CN"/>
        </w:rPr>
        <w:t>)居民应按规定将生活垃圾倒入垃圾收集容器内。实行分类、袋装收集的地区，居民应将垃圾分类、袋装封闭后，定时投入收集容器内或放置于指定的收集点。</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8</w:t>
      </w: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各</w:t>
      </w:r>
      <w:r>
        <w:rPr>
          <w:rFonts w:hint="default" w:ascii="宋体" w:hAnsi="宋体" w:eastAsia="宋体" w:cs="宋体"/>
          <w:color w:val="auto"/>
          <w:kern w:val="2"/>
          <w:sz w:val="21"/>
          <w:szCs w:val="21"/>
          <w:highlight w:val="none"/>
          <w:lang w:val="en-US" w:eastAsia="zh-CN" w:bidi="zh-CN"/>
        </w:rPr>
        <w:t>单位应将所产生的生活垃圾投放于自设的收集容器内，不得裸露堆放。</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9</w:t>
      </w:r>
      <w:r>
        <w:rPr>
          <w:rFonts w:hint="default" w:ascii="宋体" w:hAnsi="宋体" w:eastAsia="宋体" w:cs="宋体"/>
          <w:color w:val="auto"/>
          <w:kern w:val="2"/>
          <w:sz w:val="21"/>
          <w:szCs w:val="21"/>
          <w:highlight w:val="none"/>
          <w:lang w:val="en-US" w:eastAsia="zh-CN" w:bidi="zh-CN"/>
        </w:rPr>
        <w:t>)特种垃圾、工业垃圾和建筑垃圾，必须与生活垃圾分开存放，分别收集。</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10</w:t>
      </w:r>
      <w:r>
        <w:rPr>
          <w:rFonts w:hint="default" w:ascii="宋体" w:hAnsi="宋体" w:eastAsia="宋体" w:cs="宋体"/>
          <w:color w:val="auto"/>
          <w:kern w:val="2"/>
          <w:sz w:val="21"/>
          <w:szCs w:val="21"/>
          <w:highlight w:val="none"/>
          <w:lang w:val="en-US" w:eastAsia="zh-CN" w:bidi="zh-CN"/>
        </w:rPr>
        <w:t>)居民的生活垃圾应每日消除，无堆积</w:t>
      </w:r>
      <w:r>
        <w:rPr>
          <w:rFonts w:hint="eastAsia" w:ascii="宋体" w:hAnsi="宋体" w:eastAsia="宋体" w:cs="宋体"/>
          <w:color w:val="auto"/>
          <w:kern w:val="2"/>
          <w:sz w:val="21"/>
          <w:szCs w:val="21"/>
          <w:highlight w:val="none"/>
          <w:lang w:val="en-US" w:eastAsia="zh-CN" w:bidi="zh-CN"/>
        </w:rPr>
        <w:t>；单</w:t>
      </w:r>
      <w:r>
        <w:rPr>
          <w:rFonts w:hint="default" w:ascii="宋体" w:hAnsi="宋体" w:eastAsia="宋体" w:cs="宋体"/>
          <w:color w:val="auto"/>
          <w:kern w:val="2"/>
          <w:sz w:val="21"/>
          <w:szCs w:val="21"/>
          <w:highlight w:val="none"/>
          <w:lang w:val="en-US" w:eastAsia="zh-CN" w:bidi="zh-CN"/>
        </w:rPr>
        <w:t>位的生活垃圾应按时清除，无积压，不腐烂发臭</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废旧家具、家用电器等粗大垃圾应按指定地点存放，定期清除。</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11</w:t>
      </w:r>
      <w:r>
        <w:rPr>
          <w:rFonts w:hint="default" w:ascii="宋体" w:hAnsi="宋体" w:eastAsia="宋体" w:cs="宋体"/>
          <w:color w:val="auto"/>
          <w:kern w:val="2"/>
          <w:sz w:val="21"/>
          <w:szCs w:val="21"/>
          <w:highlight w:val="none"/>
          <w:lang w:val="en-US" w:eastAsia="zh-CN" w:bidi="zh-CN"/>
        </w:rPr>
        <w:t>)收集作业完成后，应及时清理场地，将可移动式垃圾收集容器复位，车走地净。垃圾应直接送至指定的转运站或处置场。</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12</w:t>
      </w:r>
      <w:r>
        <w:rPr>
          <w:rFonts w:hint="default" w:ascii="宋体" w:hAnsi="宋体" w:eastAsia="宋体" w:cs="宋体"/>
          <w:color w:val="auto"/>
          <w:kern w:val="2"/>
          <w:sz w:val="21"/>
          <w:szCs w:val="21"/>
          <w:highlight w:val="none"/>
          <w:lang w:val="en-US" w:eastAsia="zh-CN" w:bidi="zh-CN"/>
        </w:rPr>
        <w:t>)废物箱内的垃圾应及时消除、无满溢和散落，并定时清洗箱体。</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13</w:t>
      </w:r>
      <w:r>
        <w:rPr>
          <w:rFonts w:hint="default" w:ascii="宋体" w:hAnsi="宋体" w:eastAsia="宋体" w:cs="宋体"/>
          <w:color w:val="auto"/>
          <w:kern w:val="2"/>
          <w:sz w:val="21"/>
          <w:szCs w:val="21"/>
          <w:highlight w:val="none"/>
          <w:lang w:val="en-US" w:eastAsia="zh-CN" w:bidi="zh-CN"/>
        </w:rPr>
        <w:t>)地面(含天桥、地道)清扫的垃圾应及时收集和运输，不遗漏，不得堆放在路边。</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14</w:t>
      </w: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中标人需科学选取合理地点放置垃圾桶，逐步减少垃圾桶排放数量，主干道路进行全面撤桶，在次干道、巷道进行逐步撤桶，中标单位须实行上门生活垃圾收运，推进垃圾分类工作。</w:t>
      </w:r>
    </w:p>
    <w:p>
      <w:pPr>
        <w:widowControl w:val="0"/>
        <w:adjustRightInd/>
        <w:snapToGrid/>
        <w:spacing w:after="0"/>
        <w:jc w:val="both"/>
        <w:rPr>
          <w:rFonts w:hint="default" w:ascii="Calibri" w:hAnsi="Calibri" w:eastAsia="宋体" w:cs="Times New Roman"/>
          <w:color w:val="auto"/>
          <w:kern w:val="2"/>
          <w:sz w:val="21"/>
          <w:szCs w:val="24"/>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firstLine="0" w:firstLineChars="0"/>
        <w:jc w:val="both"/>
        <w:textAlignment w:val="auto"/>
        <w:rPr>
          <w:rFonts w:hint="default" w:ascii="Calibri" w:hAnsi="Calibri" w:eastAsia="宋体" w:cs="Times New Roman"/>
          <w:b/>
          <w:bCs/>
          <w:color w:val="auto"/>
          <w:kern w:val="2"/>
          <w:sz w:val="24"/>
          <w:szCs w:val="32"/>
          <w:highlight w:val="none"/>
          <w:lang w:val="en-US" w:eastAsia="zh-CN"/>
        </w:rPr>
      </w:pPr>
      <w:r>
        <w:rPr>
          <w:rFonts w:hint="eastAsia" w:ascii="Calibri" w:hAnsi="Calibri" w:eastAsia="宋体" w:cs="Times New Roman"/>
          <w:b/>
          <w:bCs/>
          <w:color w:val="auto"/>
          <w:kern w:val="2"/>
          <w:sz w:val="24"/>
          <w:szCs w:val="32"/>
          <w:highlight w:val="none"/>
          <w:lang w:val="en-US" w:eastAsia="zh-CN"/>
        </w:rPr>
        <w:t>公厕管养质量要求</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1、公厕</w:t>
      </w:r>
      <w:r>
        <w:rPr>
          <w:rFonts w:hint="default" w:ascii="宋体" w:hAnsi="宋体" w:eastAsia="宋体" w:cs="宋体"/>
          <w:color w:val="auto"/>
          <w:kern w:val="2"/>
          <w:sz w:val="21"/>
          <w:szCs w:val="21"/>
          <w:highlight w:val="none"/>
          <w:lang w:val="en-US" w:eastAsia="zh-CN" w:bidi="zh-CN"/>
        </w:rPr>
        <w:t>的卫生应符合下列质量要求</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1</w:t>
      </w:r>
      <w:r>
        <w:rPr>
          <w:rFonts w:hint="default" w:ascii="宋体" w:hAnsi="宋体" w:eastAsia="宋体" w:cs="宋体"/>
          <w:color w:val="auto"/>
          <w:kern w:val="2"/>
          <w:sz w:val="21"/>
          <w:szCs w:val="21"/>
          <w:highlight w:val="none"/>
          <w:lang w:val="en-US" w:eastAsia="zh-CN" w:bidi="zh-CN"/>
        </w:rPr>
        <w:t>)水冲式公厕粪污水不得直接排入雨水管道、河流和水沟。有污水管网和污水处理厂的地区，应将粪污水纳入污水管网集中处理</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没有污水管网的地区</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应建造符合卫生要求的化粪池或其它处理设施。</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2</w:t>
      </w:r>
      <w:r>
        <w:rPr>
          <w:rFonts w:hint="default" w:ascii="宋体" w:hAnsi="宋体" w:eastAsia="宋体" w:cs="宋体"/>
          <w:color w:val="auto"/>
          <w:kern w:val="2"/>
          <w:sz w:val="21"/>
          <w:szCs w:val="21"/>
          <w:highlight w:val="none"/>
          <w:lang w:val="en-US" w:eastAsia="zh-CN" w:bidi="zh-CN"/>
        </w:rPr>
        <w:t>)公厕内地面应保持整洁，粪槽、便槽(斗)和管道应无破损，内外墙应无剥落。</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3</w:t>
      </w:r>
      <w:r>
        <w:rPr>
          <w:rFonts w:hint="default" w:ascii="宋体" w:hAnsi="宋体" w:eastAsia="宋体" w:cs="宋体"/>
          <w:color w:val="auto"/>
          <w:kern w:val="2"/>
          <w:sz w:val="21"/>
          <w:szCs w:val="21"/>
          <w:highlight w:val="none"/>
          <w:lang w:val="en-US" w:eastAsia="zh-CN" w:bidi="zh-CN"/>
        </w:rPr>
        <w:t>)一类公厕应有防蝇、防蚊和除臭设施或措施。</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4</w:t>
      </w:r>
      <w:r>
        <w:rPr>
          <w:rFonts w:hint="default" w:ascii="宋体" w:hAnsi="宋体" w:eastAsia="宋体" w:cs="宋体"/>
          <w:color w:val="auto"/>
          <w:kern w:val="2"/>
          <w:sz w:val="21"/>
          <w:szCs w:val="21"/>
          <w:highlight w:val="none"/>
          <w:lang w:val="en-US" w:eastAsia="zh-CN" w:bidi="zh-CN"/>
        </w:rPr>
        <w:t>)有条件的地区，公园四周应绿化。</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2、公厕</w:t>
      </w:r>
      <w:r>
        <w:rPr>
          <w:rFonts w:hint="default" w:ascii="宋体" w:hAnsi="宋体" w:eastAsia="宋体" w:cs="宋体"/>
          <w:color w:val="auto"/>
          <w:kern w:val="2"/>
          <w:sz w:val="21"/>
          <w:szCs w:val="21"/>
          <w:highlight w:val="none"/>
          <w:lang w:val="en-US" w:eastAsia="zh-CN" w:bidi="zh-CN"/>
        </w:rPr>
        <w:t>保洁标准应符合下列规定</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1</w:t>
      </w: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公厕</w:t>
      </w:r>
      <w:r>
        <w:rPr>
          <w:rFonts w:hint="default" w:ascii="宋体" w:hAnsi="宋体" w:eastAsia="宋体" w:cs="宋体"/>
          <w:color w:val="auto"/>
          <w:kern w:val="2"/>
          <w:sz w:val="21"/>
          <w:szCs w:val="21"/>
          <w:highlight w:val="none"/>
          <w:lang w:val="en-US" w:eastAsia="zh-CN" w:bidi="zh-CN"/>
        </w:rPr>
        <w:t>内采光、照明和通风应良好，无明显臭味</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(2)公厕内墙面、天花板、门窗和隔离板应无积灰、污迹、蛛网，无乱涂乱画，墙面应光洁，公厕外墙面应整洁</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(3)公厕内地面应光洁，无积水；</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(4)蹲位应整洁，大便槽两侧应无粪便污物，檀内无积粪，洁净见底</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(5)小便</w:t>
      </w:r>
      <w:r>
        <w:rPr>
          <w:rFonts w:hint="eastAsia" w:ascii="宋体" w:hAnsi="宋体" w:eastAsia="宋体" w:cs="宋体"/>
          <w:color w:val="auto"/>
          <w:kern w:val="2"/>
          <w:sz w:val="21"/>
          <w:szCs w:val="21"/>
          <w:highlight w:val="none"/>
          <w:lang w:val="en-US" w:eastAsia="zh-CN" w:bidi="zh-CN"/>
        </w:rPr>
        <w:t>槽</w:t>
      </w:r>
      <w:r>
        <w:rPr>
          <w:rFonts w:hint="default" w:ascii="宋体" w:hAnsi="宋体" w:eastAsia="宋体" w:cs="宋体"/>
          <w:color w:val="auto"/>
          <w:kern w:val="2"/>
          <w:sz w:val="21"/>
          <w:szCs w:val="21"/>
          <w:highlight w:val="none"/>
          <w:lang w:val="en-US" w:eastAsia="zh-CN" w:bidi="zh-CN"/>
        </w:rPr>
        <w:t>(斗)应无水锈、尿垢、垃圾，基本无臭</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沟眼、管道保持畅通</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(6)公园内照明灯具、洗手器具、镜子、挂衣钩、烘手器、冲水设备等应完好，无积灰、污物</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(7)公厕外环境应整洁，无乱堆杂物，保洁工具应放置整齐。公厦四周3</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5m范围内，应无垃圾、粪便、污水等污物</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left"/>
        <w:textAlignment w:val="auto"/>
        <w:rPr>
          <w:rFonts w:hint="eastAsia"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(8)蝇蚊孳生季节，应定时喷洒灭蚊蝇药物，有效控制蝇蛆孳生</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left"/>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(9)</w:t>
      </w:r>
      <w:r>
        <w:rPr>
          <w:rFonts w:hint="eastAsia" w:ascii="宋体" w:hAnsi="宋体" w:eastAsia="宋体" w:cs="宋体"/>
          <w:color w:val="auto"/>
          <w:kern w:val="2"/>
          <w:sz w:val="21"/>
          <w:szCs w:val="21"/>
          <w:highlight w:val="none"/>
          <w:lang w:val="en-US" w:eastAsia="zh-CN" w:bidi="zh-CN"/>
        </w:rPr>
        <w:t>公厕</w:t>
      </w:r>
      <w:r>
        <w:rPr>
          <w:rFonts w:hint="default" w:ascii="宋体" w:hAnsi="宋体" w:eastAsia="宋体" w:cs="宋体"/>
          <w:color w:val="auto"/>
          <w:kern w:val="2"/>
          <w:sz w:val="21"/>
          <w:szCs w:val="21"/>
          <w:highlight w:val="none"/>
          <w:lang w:val="en-US" w:eastAsia="zh-CN" w:bidi="zh-CN"/>
        </w:rPr>
        <w:t>内卫生保洁质量控制指标应符合</w:t>
      </w:r>
      <w:r>
        <w:rPr>
          <w:rFonts w:hint="eastAsia" w:ascii="宋体" w:hAnsi="宋体" w:eastAsia="宋体" w:cs="宋体"/>
          <w:color w:val="auto"/>
          <w:kern w:val="2"/>
          <w:sz w:val="21"/>
          <w:szCs w:val="21"/>
          <w:highlight w:val="none"/>
          <w:lang w:val="en-US" w:eastAsia="zh-CN" w:bidi="zh-CN"/>
        </w:rPr>
        <w:t>下表</w:t>
      </w:r>
      <w:r>
        <w:rPr>
          <w:rFonts w:hint="default" w:ascii="宋体" w:hAnsi="宋体" w:eastAsia="宋体" w:cs="宋体"/>
          <w:color w:val="auto"/>
          <w:kern w:val="2"/>
          <w:sz w:val="21"/>
          <w:szCs w:val="21"/>
          <w:highlight w:val="none"/>
          <w:lang w:val="en-US" w:eastAsia="zh-CN" w:bidi="zh-CN"/>
        </w:rPr>
        <w:t>的规定</w:t>
      </w:r>
      <w:r>
        <w:rPr>
          <w:rFonts w:hint="eastAsia" w:ascii="宋体" w:hAnsi="宋体" w:eastAsia="宋体" w:cs="宋体"/>
          <w:color w:val="auto"/>
          <w:kern w:val="2"/>
          <w:sz w:val="21"/>
          <w:szCs w:val="21"/>
          <w:highlight w:val="none"/>
          <w:lang w:val="en-US" w:eastAsia="zh-CN" w:bidi="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840"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项目</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一类公厕</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二类公厕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840"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纸片（块）</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无</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840"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烟蒂（个）</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无</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840"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粪迹（处）</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无</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840"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痰迹（处）</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无</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840"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窗格积灰</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无</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840"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臭味（级）</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0</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水厕，≤1；非水厕，≤2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840"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苍蝇（只）</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无</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水厕，无；非水厕，＜3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840"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蛛网</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无</w:t>
            </w:r>
          </w:p>
        </w:tc>
        <w:tc>
          <w:tcPr>
            <w:tcW w:w="2841" w:type="dxa"/>
            <w:vAlign w:val="center"/>
          </w:tcPr>
          <w:p>
            <w:pPr>
              <w:widowControl w:val="0"/>
              <w:adjustRightInd/>
              <w:snapToGrid/>
              <w:spacing w:after="0"/>
              <w:jc w:val="center"/>
              <w:rPr>
                <w:rFonts w:hint="default" w:ascii="Calibri" w:hAnsi="Calibri" w:eastAsia="宋体" w:cs="Times New Roman"/>
                <w:color w:val="auto"/>
                <w:kern w:val="2"/>
                <w:sz w:val="21"/>
                <w:szCs w:val="24"/>
                <w:highlight w:val="none"/>
                <w:vertAlign w:val="baseline"/>
                <w:lang w:val="en-US" w:eastAsia="zh-CN"/>
              </w:rPr>
            </w:pPr>
            <w:r>
              <w:rPr>
                <w:rFonts w:hint="eastAsia" w:ascii="Calibri" w:hAnsi="Calibri" w:eastAsia="宋体" w:cs="Times New Roman"/>
                <w:color w:val="auto"/>
                <w:kern w:val="2"/>
                <w:sz w:val="21"/>
                <w:szCs w:val="24"/>
                <w:highlight w:val="none"/>
                <w:vertAlign w:val="baseline"/>
                <w:lang w:val="en-US" w:eastAsia="zh-CN"/>
              </w:rPr>
              <w:t>无</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3、公厕</w:t>
      </w:r>
      <w:r>
        <w:rPr>
          <w:rFonts w:hint="default" w:ascii="宋体" w:hAnsi="宋体" w:eastAsia="宋体" w:cs="宋体"/>
          <w:color w:val="auto"/>
          <w:kern w:val="2"/>
          <w:sz w:val="21"/>
          <w:szCs w:val="21"/>
          <w:highlight w:val="none"/>
          <w:lang w:val="en-US" w:eastAsia="zh-CN" w:bidi="zh-CN"/>
        </w:rPr>
        <w:t>粪便清除作业应符合下列质量要求</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1</w:t>
      </w:r>
      <w:r>
        <w:rPr>
          <w:rFonts w:hint="default" w:ascii="宋体" w:hAnsi="宋体" w:eastAsia="宋体" w:cs="宋体"/>
          <w:color w:val="auto"/>
          <w:kern w:val="2"/>
          <w:sz w:val="21"/>
          <w:szCs w:val="21"/>
          <w:highlight w:val="none"/>
          <w:lang w:val="en-US" w:eastAsia="zh-CN" w:bidi="zh-CN"/>
        </w:rPr>
        <w:t>)应定期清除</w:t>
      </w:r>
      <w:r>
        <w:rPr>
          <w:rFonts w:hint="eastAsia" w:ascii="宋体" w:hAnsi="宋体" w:eastAsia="宋体" w:cs="宋体"/>
          <w:color w:val="auto"/>
          <w:kern w:val="2"/>
          <w:sz w:val="21"/>
          <w:szCs w:val="21"/>
          <w:highlight w:val="none"/>
          <w:lang w:val="en-US" w:eastAsia="zh-CN" w:bidi="zh-CN"/>
        </w:rPr>
        <w:t>公厕</w:t>
      </w:r>
      <w:r>
        <w:rPr>
          <w:rFonts w:hint="default" w:ascii="宋体" w:hAnsi="宋体" w:eastAsia="宋体" w:cs="宋体"/>
          <w:color w:val="auto"/>
          <w:kern w:val="2"/>
          <w:sz w:val="21"/>
          <w:szCs w:val="21"/>
          <w:highlight w:val="none"/>
          <w:lang w:val="en-US" w:eastAsia="zh-CN" w:bidi="zh-CN"/>
        </w:rPr>
        <w:t>贮(化)粪池粪便，粪水不溢。</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(2)收集和运输容器应密闭性好，无滴漏。收运粪便时，容器应加盖密闭。</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w:t>
      </w:r>
      <w:r>
        <w:rPr>
          <w:rFonts w:hint="default" w:ascii="宋体" w:hAnsi="宋体" w:eastAsia="宋体" w:cs="宋体"/>
          <w:color w:val="auto"/>
          <w:kern w:val="2"/>
          <w:sz w:val="21"/>
          <w:szCs w:val="21"/>
          <w:highlight w:val="none"/>
          <w:lang w:val="en-US" w:eastAsia="zh-CN" w:bidi="zh-CN"/>
        </w:rPr>
        <w:t>应保持作业场地清洁卫生，无遗撒粪便。清掏作业结束后，应盖严粪口，并及时清洗场地和清掏工具。</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color w:val="auto"/>
          <w:kern w:val="2"/>
          <w:sz w:val="24"/>
          <w:szCs w:val="24"/>
          <w:highlight w:val="none"/>
          <w:lang w:val="en-US" w:eastAsia="zh-CN" w:bidi="zh-CN"/>
        </w:rPr>
      </w:pPr>
      <w:r>
        <w:rPr>
          <w:rFonts w:hint="eastAsia" w:ascii="宋体" w:hAnsi="宋体" w:eastAsia="宋体" w:cs="宋体"/>
          <w:color w:val="auto"/>
          <w:kern w:val="2"/>
          <w:sz w:val="21"/>
          <w:szCs w:val="21"/>
          <w:highlight w:val="none"/>
          <w:lang w:val="en-US" w:eastAsia="zh-CN" w:bidi="zh-CN"/>
        </w:rPr>
        <w:t>7、粪便转运应符合下列质量要求：</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1</w:t>
      </w:r>
      <w:r>
        <w:rPr>
          <w:rFonts w:hint="default" w:ascii="宋体" w:hAnsi="宋体" w:eastAsia="宋体" w:cs="宋体"/>
          <w:color w:val="auto"/>
          <w:kern w:val="2"/>
          <w:sz w:val="21"/>
          <w:szCs w:val="21"/>
          <w:highlight w:val="none"/>
          <w:lang w:val="en-US" w:eastAsia="zh-CN" w:bidi="zh-CN"/>
        </w:rPr>
        <w:t>)粪便转运站(场、码头)设施应完好、整洁。转运的粪污水应密闭贮存于贮粪池内。贮粪池应符合防渗漏、防臭气扩散和防蝇的要求，井设置防火、防燥安全设施。</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(2)贮粪池内的粪便应及时转运，不得</w:t>
      </w:r>
      <w:r>
        <w:rPr>
          <w:rFonts w:hint="eastAsia" w:ascii="宋体" w:hAnsi="宋体" w:eastAsia="宋体" w:cs="宋体"/>
          <w:color w:val="auto"/>
          <w:kern w:val="2"/>
          <w:sz w:val="21"/>
          <w:szCs w:val="21"/>
          <w:highlight w:val="none"/>
          <w:lang w:val="en-US" w:eastAsia="zh-CN" w:bidi="zh-CN"/>
        </w:rPr>
        <w:t>外溢</w:t>
      </w:r>
      <w:r>
        <w:rPr>
          <w:rFonts w:hint="default"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(3)输粪管道应完好、畅通，闸阀应严密，无破损、滴漏。</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(4)转运作业时，粪便不得污染水体和作业场地。冲洗作业场地的污水应经适当处理，排入污水管网或收集池，不得直接排入附近水体。</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(5)将人力收集车的粪便转运到机动车时，应保持转运作业的紧密衔接，不得任意将粪罐、粪桶、手推粪车停放在主要道路上。</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(6)卸粪时应谨慎操作，不得将粪便泼</w:t>
      </w:r>
      <w:r>
        <w:rPr>
          <w:rFonts w:hint="eastAsia" w:ascii="宋体" w:hAnsi="宋体" w:eastAsia="宋体" w:cs="宋体"/>
          <w:color w:val="auto"/>
          <w:kern w:val="2"/>
          <w:sz w:val="21"/>
          <w:szCs w:val="21"/>
          <w:highlight w:val="none"/>
          <w:lang w:val="en-US" w:eastAsia="zh-CN" w:bidi="zh-CN"/>
        </w:rPr>
        <w:t>洒</w:t>
      </w:r>
      <w:r>
        <w:rPr>
          <w:rFonts w:hint="default" w:ascii="宋体" w:hAnsi="宋体" w:eastAsia="宋体" w:cs="宋体"/>
          <w:color w:val="auto"/>
          <w:kern w:val="2"/>
          <w:sz w:val="21"/>
          <w:szCs w:val="21"/>
          <w:highlight w:val="none"/>
          <w:lang w:val="en-US" w:eastAsia="zh-CN" w:bidi="zh-CN"/>
        </w:rPr>
        <w:t>在卸粪口周围地面。作业结束，应及时清洗卸粪口及作业场地。</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7</w:t>
      </w:r>
      <w:r>
        <w:rPr>
          <w:rFonts w:hint="default" w:ascii="宋体" w:hAnsi="宋体" w:eastAsia="宋体" w:cs="宋体"/>
          <w:color w:val="auto"/>
          <w:kern w:val="2"/>
          <w:sz w:val="21"/>
          <w:szCs w:val="21"/>
          <w:highlight w:val="none"/>
          <w:lang w:val="en-US" w:eastAsia="zh-CN" w:bidi="zh-CN"/>
        </w:rPr>
        <w:t>)粪便转运站(场、码头)应有灭蝇措施。在可视范围内，苍蝇不超过3只1次，无蛆，</w:t>
      </w:r>
      <w:r>
        <w:rPr>
          <w:rFonts w:hint="eastAsia" w:ascii="宋体" w:hAnsi="宋体" w:eastAsia="宋体" w:cs="宋体"/>
          <w:color w:val="auto"/>
          <w:kern w:val="2"/>
          <w:sz w:val="21"/>
          <w:szCs w:val="21"/>
          <w:highlight w:val="none"/>
          <w:lang w:val="en-US" w:eastAsia="zh-CN" w:bidi="zh-CN"/>
        </w:rPr>
        <w:t>臭味</w:t>
      </w:r>
      <w:r>
        <w:rPr>
          <w:rFonts w:hint="default" w:ascii="宋体" w:hAnsi="宋体" w:eastAsia="宋体" w:cs="宋体"/>
          <w:color w:val="auto"/>
          <w:kern w:val="2"/>
          <w:sz w:val="21"/>
          <w:szCs w:val="21"/>
          <w:highlight w:val="none"/>
          <w:lang w:val="en-US" w:eastAsia="zh-CN" w:bidi="zh-CN"/>
        </w:rPr>
        <w:t>不超过4级。</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4、</w:t>
      </w:r>
      <w:r>
        <w:rPr>
          <w:rFonts w:hint="default" w:ascii="宋体" w:hAnsi="宋体" w:eastAsia="宋体" w:cs="宋体"/>
          <w:color w:val="auto"/>
          <w:kern w:val="2"/>
          <w:sz w:val="21"/>
          <w:szCs w:val="21"/>
          <w:highlight w:val="none"/>
          <w:lang w:val="en-US" w:eastAsia="zh-CN" w:bidi="zh-CN"/>
        </w:rPr>
        <w:t>车辆运输粪便应符合下列质量要求</w:t>
      </w:r>
      <w:r>
        <w:rPr>
          <w:rFonts w:hint="eastAsia" w:ascii="宋体" w:hAnsi="宋体" w:eastAsia="宋体" w:cs="宋体"/>
          <w:color w:val="auto"/>
          <w:kern w:val="2"/>
          <w:sz w:val="21"/>
          <w:szCs w:val="21"/>
          <w:highlight w:val="none"/>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w:t>
      </w:r>
      <w:r>
        <w:rPr>
          <w:rFonts w:hint="eastAsia" w:ascii="宋体" w:hAnsi="宋体" w:eastAsia="宋体" w:cs="宋体"/>
          <w:color w:val="auto"/>
          <w:kern w:val="2"/>
          <w:sz w:val="21"/>
          <w:szCs w:val="21"/>
          <w:highlight w:val="none"/>
          <w:lang w:val="en-US" w:eastAsia="zh-CN" w:bidi="zh-CN"/>
        </w:rPr>
        <w:t>1</w:t>
      </w:r>
      <w:r>
        <w:rPr>
          <w:rFonts w:hint="default" w:ascii="宋体" w:hAnsi="宋体" w:eastAsia="宋体" w:cs="宋体"/>
          <w:color w:val="auto"/>
          <w:kern w:val="2"/>
          <w:sz w:val="21"/>
          <w:szCs w:val="21"/>
          <w:highlight w:val="none"/>
          <w:lang w:val="en-US" w:eastAsia="zh-CN" w:bidi="zh-CN"/>
        </w:rPr>
        <w:t>)车辆应完好、整洁，车体无粪迹污物。</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(2)装载容器应密闭性好。放粪闸阀、进类口应严实，并有防滴漏措施</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运输过程中应无滴漏、</w:t>
      </w:r>
      <w:r>
        <w:rPr>
          <w:rFonts w:hint="eastAsia" w:ascii="宋体" w:hAnsi="宋体" w:eastAsia="宋体" w:cs="宋体"/>
          <w:color w:val="auto"/>
          <w:kern w:val="2"/>
          <w:sz w:val="21"/>
          <w:szCs w:val="21"/>
          <w:highlight w:val="none"/>
          <w:lang w:val="en-US" w:eastAsia="zh-CN" w:bidi="zh-CN"/>
        </w:rPr>
        <w:t>洒</w:t>
      </w:r>
      <w:r>
        <w:rPr>
          <w:rFonts w:hint="default" w:ascii="宋体" w:hAnsi="宋体" w:eastAsia="宋体" w:cs="宋体"/>
          <w:color w:val="auto"/>
          <w:kern w:val="2"/>
          <w:sz w:val="21"/>
          <w:szCs w:val="21"/>
          <w:highlight w:val="none"/>
          <w:lang w:val="en-US" w:eastAsia="zh-CN" w:bidi="zh-CN"/>
        </w:rPr>
        <w:t>落，车走后场地应清理干净。</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w:t>
      </w:r>
      <w:r>
        <w:rPr>
          <w:rFonts w:hint="default" w:ascii="宋体" w:hAnsi="宋体" w:eastAsia="宋体" w:cs="宋体"/>
          <w:color w:val="auto"/>
          <w:kern w:val="2"/>
          <w:sz w:val="21"/>
          <w:szCs w:val="21"/>
          <w:highlight w:val="none"/>
          <w:lang w:val="en-US" w:eastAsia="zh-CN" w:bidi="zh-CN"/>
        </w:rPr>
        <w:t>装载应适量，无外溢</w:t>
      </w:r>
      <w:r>
        <w:rPr>
          <w:rFonts w:hint="eastAsia" w:ascii="宋体" w:hAnsi="宋体" w:eastAsia="宋体" w:cs="宋体"/>
          <w:color w:val="auto"/>
          <w:kern w:val="2"/>
          <w:sz w:val="21"/>
          <w:szCs w:val="21"/>
          <w:highlight w:val="none"/>
          <w:lang w:val="en-US" w:eastAsia="zh-CN" w:bidi="zh-CN"/>
        </w:rPr>
        <w:t>；</w:t>
      </w:r>
      <w:r>
        <w:rPr>
          <w:rFonts w:hint="default" w:ascii="宋体" w:hAnsi="宋体" w:eastAsia="宋体" w:cs="宋体"/>
          <w:color w:val="auto"/>
          <w:kern w:val="2"/>
          <w:sz w:val="21"/>
          <w:szCs w:val="21"/>
          <w:highlight w:val="none"/>
          <w:lang w:val="en-US" w:eastAsia="zh-CN" w:bidi="zh-CN"/>
        </w:rPr>
        <w:t>裝载的粪便，应及时卸清，不得将粪便长时间存留在车罐内。</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(4)应按指定地点及时卸粪，不得任意排放。</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default" w:ascii="宋体" w:hAnsi="宋体" w:eastAsia="宋体" w:cs="宋体"/>
          <w:color w:val="auto"/>
          <w:kern w:val="2"/>
          <w:sz w:val="21"/>
          <w:szCs w:val="21"/>
          <w:highlight w:val="none"/>
          <w:lang w:val="en-US" w:eastAsia="zh-CN" w:bidi="zh-CN"/>
        </w:rPr>
        <w:t>(5)运输作业结束后，应及时清洗车辆和辅助设施，不得留有粪迹污物。</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 xml:space="preserve">5、一类、二类公厕均按专人保洁厕标准制，其中一类公厕保洁时长按 </w:t>
      </w:r>
      <w:r>
        <w:rPr>
          <w:rFonts w:hint="default" w:ascii="宋体" w:hAnsi="宋体" w:eastAsia="宋体" w:cs="宋体"/>
          <w:color w:val="auto"/>
          <w:kern w:val="2"/>
          <w:sz w:val="21"/>
          <w:szCs w:val="21"/>
          <w:highlight w:val="none"/>
          <w:lang w:val="en-US" w:eastAsia="zh-CN" w:bidi="zh-CN"/>
        </w:rPr>
        <w:t xml:space="preserve">16 </w:t>
      </w:r>
      <w:r>
        <w:rPr>
          <w:rFonts w:hint="eastAsia" w:ascii="宋体" w:hAnsi="宋体" w:eastAsia="宋体" w:cs="宋体"/>
          <w:color w:val="auto"/>
          <w:kern w:val="2"/>
          <w:sz w:val="21"/>
          <w:szCs w:val="21"/>
          <w:highlight w:val="none"/>
          <w:lang w:val="en-US" w:eastAsia="zh-CN" w:bidi="zh-CN"/>
        </w:rPr>
        <w:t xml:space="preserve">小时计，二类公厕保洁时长按 </w:t>
      </w:r>
      <w:r>
        <w:rPr>
          <w:rFonts w:hint="default" w:ascii="宋体" w:hAnsi="宋体" w:eastAsia="宋体" w:cs="宋体"/>
          <w:color w:val="auto"/>
          <w:kern w:val="2"/>
          <w:sz w:val="21"/>
          <w:szCs w:val="21"/>
          <w:highlight w:val="none"/>
          <w:lang w:val="en-US" w:eastAsia="zh-CN" w:bidi="zh-CN"/>
        </w:rPr>
        <w:t xml:space="preserve">12 </w:t>
      </w:r>
      <w:r>
        <w:rPr>
          <w:rFonts w:hint="eastAsia" w:ascii="宋体" w:hAnsi="宋体" w:eastAsia="宋体" w:cs="宋体"/>
          <w:color w:val="auto"/>
          <w:kern w:val="2"/>
          <w:sz w:val="21"/>
          <w:szCs w:val="21"/>
          <w:highlight w:val="none"/>
          <w:lang w:val="en-US" w:eastAsia="zh-CN" w:bidi="zh-CN"/>
        </w:rPr>
        <w:t>小时计。</w:t>
      </w:r>
    </w:p>
    <w:p>
      <w:pPr>
        <w:pStyle w:val="2"/>
        <w:rPr>
          <w:rFonts w:hint="default"/>
          <w:color w:val="auto"/>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firstLine="0" w:firstLineChars="0"/>
        <w:jc w:val="both"/>
        <w:textAlignment w:val="auto"/>
        <w:rPr>
          <w:rFonts w:hint="default" w:ascii="Calibri" w:hAnsi="Calibri" w:eastAsia="宋体" w:cs="Times New Roman"/>
          <w:b/>
          <w:bCs/>
          <w:color w:val="auto"/>
          <w:kern w:val="2"/>
          <w:sz w:val="22"/>
          <w:szCs w:val="28"/>
          <w:highlight w:val="none"/>
          <w:lang w:val="en-US" w:eastAsia="zh-CN"/>
        </w:rPr>
      </w:pPr>
      <w:r>
        <w:rPr>
          <w:rFonts w:hint="eastAsia" w:ascii="Calibri" w:hAnsi="Calibri" w:eastAsia="宋体" w:cs="Times New Roman"/>
          <w:b/>
          <w:bCs/>
          <w:color w:val="auto"/>
          <w:kern w:val="2"/>
          <w:sz w:val="24"/>
          <w:szCs w:val="32"/>
          <w:highlight w:val="none"/>
          <w:lang w:val="en-US" w:eastAsia="zh-CN"/>
        </w:rPr>
        <w:t>设备配置要求</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4"/>
        <w:gridCol w:w="4777"/>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 w:type="dxa"/>
          </w:tcPr>
          <w:p>
            <w:pPr>
              <w:widowControl w:val="0"/>
              <w:spacing w:before="161"/>
              <w:ind w:left="120"/>
              <w:jc w:val="center"/>
              <w:rPr>
                <w:rFonts w:hint="default" w:ascii="宋体" w:hAnsi="宋体" w:eastAsia="宋体" w:cs="宋体"/>
                <w:color w:val="auto"/>
                <w:kern w:val="2"/>
                <w:sz w:val="22"/>
                <w:szCs w:val="22"/>
                <w:highlight w:val="none"/>
                <w:vertAlign w:val="baseline"/>
                <w:lang w:val="en-US" w:eastAsia="zh-CN" w:bidi="zh-CN"/>
              </w:rPr>
            </w:pPr>
            <w:r>
              <w:rPr>
                <w:rFonts w:hint="eastAsia" w:ascii="宋体" w:hAnsi="宋体" w:eastAsia="宋体" w:cs="宋体"/>
                <w:color w:val="auto"/>
                <w:kern w:val="2"/>
                <w:sz w:val="22"/>
                <w:szCs w:val="22"/>
                <w:highlight w:val="none"/>
                <w:vertAlign w:val="baseline"/>
                <w:lang w:val="en-US" w:eastAsia="zh-CN" w:bidi="zh-CN"/>
              </w:rPr>
              <w:t>序号</w:t>
            </w:r>
          </w:p>
        </w:tc>
        <w:tc>
          <w:tcPr>
            <w:tcW w:w="4777" w:type="dxa"/>
          </w:tcPr>
          <w:p>
            <w:pPr>
              <w:widowControl w:val="0"/>
              <w:spacing w:before="161"/>
              <w:ind w:left="120"/>
              <w:jc w:val="center"/>
              <w:rPr>
                <w:rFonts w:hint="default" w:ascii="宋体" w:hAnsi="宋体" w:eastAsia="宋体" w:cs="宋体"/>
                <w:color w:val="auto"/>
                <w:kern w:val="2"/>
                <w:sz w:val="22"/>
                <w:szCs w:val="22"/>
                <w:highlight w:val="none"/>
                <w:vertAlign w:val="baseline"/>
                <w:lang w:val="en-US" w:eastAsia="zh-CN" w:bidi="zh-CN"/>
              </w:rPr>
            </w:pPr>
            <w:r>
              <w:rPr>
                <w:rFonts w:hint="eastAsia" w:ascii="宋体" w:hAnsi="宋体" w:eastAsia="宋体" w:cs="宋体"/>
                <w:color w:val="auto"/>
                <w:kern w:val="2"/>
                <w:sz w:val="22"/>
                <w:szCs w:val="22"/>
                <w:highlight w:val="none"/>
                <w:vertAlign w:val="baseline"/>
                <w:lang w:val="en-US" w:eastAsia="zh-CN" w:bidi="zh-CN"/>
              </w:rPr>
              <w:t>设备名称</w:t>
            </w:r>
          </w:p>
        </w:tc>
        <w:tc>
          <w:tcPr>
            <w:tcW w:w="2841" w:type="dxa"/>
          </w:tcPr>
          <w:p>
            <w:pPr>
              <w:widowControl w:val="0"/>
              <w:spacing w:before="161"/>
              <w:ind w:left="120"/>
              <w:jc w:val="center"/>
              <w:rPr>
                <w:rFonts w:hint="default" w:ascii="宋体" w:hAnsi="宋体" w:eastAsia="宋体" w:cs="宋体"/>
                <w:color w:val="auto"/>
                <w:kern w:val="2"/>
                <w:sz w:val="22"/>
                <w:szCs w:val="22"/>
                <w:highlight w:val="none"/>
                <w:vertAlign w:val="baseline"/>
                <w:lang w:val="en-US" w:eastAsia="zh-CN" w:bidi="zh-CN"/>
              </w:rPr>
            </w:pPr>
            <w:r>
              <w:rPr>
                <w:rFonts w:hint="eastAsia" w:ascii="宋体" w:hAnsi="宋体" w:eastAsia="宋体" w:cs="宋体"/>
                <w:color w:val="auto"/>
                <w:kern w:val="2"/>
                <w:sz w:val="22"/>
                <w:szCs w:val="22"/>
                <w:highlight w:val="none"/>
                <w:vertAlign w:val="baseline"/>
                <w:lang w:val="en-US" w:eastAsia="zh-CN" w:bidi="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1</w:t>
            </w:r>
          </w:p>
        </w:tc>
        <w:tc>
          <w:tcPr>
            <w:tcW w:w="4777" w:type="dxa"/>
          </w:tcPr>
          <w:p>
            <w:pPr>
              <w:widowControl w:val="0"/>
              <w:spacing w:before="161"/>
              <w:ind w:left="0" w:leftChars="0" w:firstLine="0" w:firstLineChars="0"/>
              <w:jc w:val="center"/>
              <w:rPr>
                <w:rFonts w:hint="default" w:ascii="宋体" w:hAnsi="宋体" w:eastAsia="宋体" w:cs="宋体"/>
                <w:color w:val="auto"/>
                <w:kern w:val="2"/>
                <w:sz w:val="20"/>
                <w:szCs w:val="20"/>
                <w:highlight w:val="none"/>
                <w:vertAlign w:val="baseline"/>
                <w:lang w:val="en-US" w:eastAsia="zh-CN" w:bidi="zh-CN"/>
              </w:rPr>
            </w:pPr>
            <w:r>
              <w:rPr>
                <w:rFonts w:hint="default" w:ascii="宋体" w:hAnsi="宋体" w:eastAsia="宋体" w:cs="宋体"/>
                <w:color w:val="auto"/>
                <w:kern w:val="2"/>
                <w:sz w:val="20"/>
                <w:szCs w:val="20"/>
                <w:highlight w:val="none"/>
                <w:vertAlign w:val="baseline"/>
                <w:lang w:val="en-US" w:eastAsia="zh-CN" w:bidi="zh-CN"/>
              </w:rPr>
              <w:t xml:space="preserve"> 扫路车</w:t>
            </w:r>
          </w:p>
        </w:tc>
        <w:tc>
          <w:tcPr>
            <w:tcW w:w="2841"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2</w:t>
            </w:r>
          </w:p>
        </w:tc>
        <w:tc>
          <w:tcPr>
            <w:tcW w:w="4777"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default" w:ascii="宋体" w:hAnsi="宋体" w:eastAsia="宋体" w:cs="宋体"/>
                <w:color w:val="auto"/>
                <w:kern w:val="2"/>
                <w:sz w:val="20"/>
                <w:szCs w:val="20"/>
                <w:highlight w:val="none"/>
                <w:vertAlign w:val="baseline"/>
                <w:lang w:val="en-US" w:eastAsia="zh-CN" w:bidi="zh-CN"/>
              </w:rPr>
              <w:t>洗扫车</w:t>
            </w:r>
          </w:p>
        </w:tc>
        <w:tc>
          <w:tcPr>
            <w:tcW w:w="2841"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3</w:t>
            </w:r>
          </w:p>
        </w:tc>
        <w:tc>
          <w:tcPr>
            <w:tcW w:w="4777"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default" w:ascii="宋体" w:hAnsi="宋体" w:eastAsia="宋体" w:cs="宋体"/>
                <w:color w:val="auto"/>
                <w:kern w:val="2"/>
                <w:sz w:val="20"/>
                <w:szCs w:val="20"/>
                <w:highlight w:val="none"/>
                <w:vertAlign w:val="baseline"/>
                <w:lang w:val="en-US" w:eastAsia="zh-CN" w:bidi="zh-CN"/>
              </w:rPr>
              <w:t>洒水车</w:t>
            </w:r>
          </w:p>
        </w:tc>
        <w:tc>
          <w:tcPr>
            <w:tcW w:w="2841"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4</w:t>
            </w:r>
          </w:p>
        </w:tc>
        <w:tc>
          <w:tcPr>
            <w:tcW w:w="4777"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default" w:ascii="宋体" w:hAnsi="宋体" w:eastAsia="宋体" w:cs="宋体"/>
                <w:color w:val="auto"/>
                <w:kern w:val="2"/>
                <w:sz w:val="20"/>
                <w:szCs w:val="20"/>
                <w:highlight w:val="none"/>
                <w:vertAlign w:val="baseline"/>
                <w:lang w:val="en-US" w:eastAsia="zh-CN" w:bidi="zh-CN"/>
              </w:rPr>
              <w:t>高压</w:t>
            </w:r>
            <w:r>
              <w:rPr>
                <w:rFonts w:hint="eastAsia" w:ascii="宋体" w:hAnsi="宋体" w:eastAsia="宋体" w:cs="宋体"/>
                <w:color w:val="auto"/>
                <w:kern w:val="2"/>
                <w:sz w:val="20"/>
                <w:szCs w:val="20"/>
                <w:highlight w:val="none"/>
                <w:vertAlign w:val="baseline"/>
                <w:lang w:val="en-US" w:eastAsia="zh-CN" w:bidi="zh-CN"/>
              </w:rPr>
              <w:t>冲</w:t>
            </w:r>
            <w:r>
              <w:rPr>
                <w:rFonts w:hint="default" w:ascii="宋体" w:hAnsi="宋体" w:eastAsia="宋体" w:cs="宋体"/>
                <w:color w:val="auto"/>
                <w:kern w:val="2"/>
                <w:sz w:val="20"/>
                <w:szCs w:val="20"/>
                <w:highlight w:val="none"/>
                <w:vertAlign w:val="baseline"/>
                <w:lang w:val="en-US" w:eastAsia="zh-CN" w:bidi="zh-CN"/>
              </w:rPr>
              <w:t>洗车</w:t>
            </w:r>
          </w:p>
        </w:tc>
        <w:tc>
          <w:tcPr>
            <w:tcW w:w="2841"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5</w:t>
            </w:r>
          </w:p>
        </w:tc>
        <w:tc>
          <w:tcPr>
            <w:tcW w:w="4777"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default" w:ascii="宋体" w:hAnsi="宋体" w:eastAsia="宋体" w:cs="宋体"/>
                <w:color w:val="auto"/>
                <w:kern w:val="2"/>
                <w:sz w:val="20"/>
                <w:szCs w:val="20"/>
                <w:highlight w:val="none"/>
                <w:vertAlign w:val="baseline"/>
                <w:lang w:val="en-US" w:eastAsia="zh-CN" w:bidi="zh-CN"/>
              </w:rPr>
              <w:t>垃圾收集容器清洗车</w:t>
            </w:r>
          </w:p>
        </w:tc>
        <w:tc>
          <w:tcPr>
            <w:tcW w:w="2841"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1</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本项目须投入设备数量不少于以上清单，如遇相关设备不足的情况，必须根据实际所需增加。</w:t>
      </w:r>
    </w:p>
    <w:p>
      <w:pPr>
        <w:widowControl w:val="0"/>
        <w:adjustRightInd/>
        <w:snapToGrid/>
        <w:spacing w:after="0"/>
        <w:jc w:val="both"/>
        <w:rPr>
          <w:rFonts w:hint="default" w:ascii="Calibri" w:hAnsi="Calibri" w:eastAsia="宋体" w:cs="Times New Roman"/>
          <w:color w:val="auto"/>
          <w:kern w:val="2"/>
          <w:sz w:val="21"/>
          <w:szCs w:val="24"/>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firstLine="0" w:firstLineChars="0"/>
        <w:jc w:val="both"/>
        <w:textAlignment w:val="auto"/>
        <w:rPr>
          <w:rFonts w:hint="default" w:ascii="Calibri" w:hAnsi="Calibri" w:eastAsia="宋体" w:cs="Times New Roman"/>
          <w:b/>
          <w:bCs/>
          <w:color w:val="auto"/>
          <w:kern w:val="2"/>
          <w:sz w:val="22"/>
          <w:szCs w:val="28"/>
          <w:highlight w:val="none"/>
          <w:lang w:val="en-US" w:eastAsia="zh-CN"/>
        </w:rPr>
      </w:pPr>
      <w:r>
        <w:rPr>
          <w:rFonts w:hint="eastAsia" w:ascii="Calibri" w:hAnsi="Calibri" w:eastAsia="宋体" w:cs="Times New Roman"/>
          <w:b/>
          <w:bCs/>
          <w:color w:val="auto"/>
          <w:kern w:val="2"/>
          <w:sz w:val="24"/>
          <w:szCs w:val="32"/>
          <w:highlight w:val="none"/>
          <w:lang w:val="en-US" w:eastAsia="zh-CN"/>
        </w:rPr>
        <w:t>人员配置要求</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4"/>
        <w:gridCol w:w="4777"/>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 w:type="dxa"/>
          </w:tcPr>
          <w:p>
            <w:pPr>
              <w:widowControl w:val="0"/>
              <w:spacing w:before="161"/>
              <w:ind w:left="120"/>
              <w:jc w:val="center"/>
              <w:rPr>
                <w:rFonts w:hint="default" w:ascii="宋体" w:hAnsi="宋体" w:eastAsia="宋体" w:cs="宋体"/>
                <w:color w:val="auto"/>
                <w:kern w:val="2"/>
                <w:sz w:val="22"/>
                <w:szCs w:val="22"/>
                <w:highlight w:val="none"/>
                <w:vertAlign w:val="baseline"/>
                <w:lang w:val="en-US" w:eastAsia="zh-CN" w:bidi="zh-CN"/>
              </w:rPr>
            </w:pPr>
            <w:r>
              <w:rPr>
                <w:rFonts w:hint="eastAsia" w:ascii="宋体" w:hAnsi="宋体" w:eastAsia="宋体" w:cs="宋体"/>
                <w:color w:val="auto"/>
                <w:kern w:val="2"/>
                <w:sz w:val="22"/>
                <w:szCs w:val="22"/>
                <w:highlight w:val="none"/>
                <w:vertAlign w:val="baseline"/>
                <w:lang w:val="en-US" w:eastAsia="zh-CN" w:bidi="zh-CN"/>
              </w:rPr>
              <w:t>序号</w:t>
            </w:r>
          </w:p>
        </w:tc>
        <w:tc>
          <w:tcPr>
            <w:tcW w:w="4777" w:type="dxa"/>
          </w:tcPr>
          <w:p>
            <w:pPr>
              <w:widowControl w:val="0"/>
              <w:spacing w:before="161"/>
              <w:ind w:left="120"/>
              <w:jc w:val="center"/>
              <w:rPr>
                <w:rFonts w:hint="default" w:ascii="宋体" w:hAnsi="宋体" w:eastAsia="宋体" w:cs="宋体"/>
                <w:color w:val="auto"/>
                <w:kern w:val="2"/>
                <w:sz w:val="22"/>
                <w:szCs w:val="22"/>
                <w:highlight w:val="none"/>
                <w:vertAlign w:val="baseline"/>
                <w:lang w:val="en-US" w:eastAsia="zh-CN" w:bidi="zh-CN"/>
              </w:rPr>
            </w:pPr>
            <w:r>
              <w:rPr>
                <w:rFonts w:hint="eastAsia" w:ascii="宋体" w:hAnsi="宋体" w:eastAsia="宋体" w:cs="宋体"/>
                <w:color w:val="auto"/>
                <w:kern w:val="2"/>
                <w:sz w:val="22"/>
                <w:szCs w:val="22"/>
                <w:highlight w:val="none"/>
                <w:vertAlign w:val="baseline"/>
                <w:lang w:val="en-US" w:eastAsia="zh-CN" w:bidi="zh-CN"/>
              </w:rPr>
              <w:t>人员种类</w:t>
            </w:r>
          </w:p>
        </w:tc>
        <w:tc>
          <w:tcPr>
            <w:tcW w:w="2841" w:type="dxa"/>
          </w:tcPr>
          <w:p>
            <w:pPr>
              <w:widowControl w:val="0"/>
              <w:spacing w:before="161"/>
              <w:ind w:left="120"/>
              <w:jc w:val="center"/>
              <w:rPr>
                <w:rFonts w:hint="default" w:ascii="宋体" w:hAnsi="宋体" w:eastAsia="宋体" w:cs="宋体"/>
                <w:color w:val="auto"/>
                <w:kern w:val="2"/>
                <w:sz w:val="22"/>
                <w:szCs w:val="22"/>
                <w:highlight w:val="none"/>
                <w:vertAlign w:val="baseline"/>
                <w:lang w:val="en-US" w:eastAsia="zh-CN" w:bidi="zh-CN"/>
              </w:rPr>
            </w:pPr>
            <w:r>
              <w:rPr>
                <w:rFonts w:hint="eastAsia" w:ascii="宋体" w:hAnsi="宋体" w:eastAsia="宋体" w:cs="宋体"/>
                <w:color w:val="auto"/>
                <w:kern w:val="2"/>
                <w:sz w:val="22"/>
                <w:szCs w:val="22"/>
                <w:highlight w:val="none"/>
                <w:vertAlign w:val="baseline"/>
                <w:lang w:val="en-US" w:eastAsia="zh-CN" w:bidi="zh-CN"/>
              </w:rPr>
              <w:t>数量（人）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1</w:t>
            </w:r>
          </w:p>
        </w:tc>
        <w:tc>
          <w:tcPr>
            <w:tcW w:w="4777" w:type="dxa"/>
          </w:tcPr>
          <w:p>
            <w:pPr>
              <w:widowControl w:val="0"/>
              <w:spacing w:before="161"/>
              <w:ind w:left="0" w:leftChars="0" w:firstLine="0" w:firstLineChars="0"/>
              <w:jc w:val="center"/>
              <w:rPr>
                <w:rFonts w:hint="default" w:ascii="宋体" w:hAnsi="宋体" w:eastAsia="宋体" w:cs="宋体"/>
                <w:color w:val="auto"/>
                <w:kern w:val="2"/>
                <w:sz w:val="20"/>
                <w:szCs w:val="20"/>
                <w:highlight w:val="none"/>
                <w:vertAlign w:val="baseline"/>
                <w:lang w:val="en-US" w:eastAsia="zh-CN" w:bidi="zh-CN"/>
              </w:rPr>
            </w:pPr>
            <w:r>
              <w:rPr>
                <w:rFonts w:hint="default" w:ascii="宋体" w:hAnsi="宋体" w:eastAsia="宋体" w:cs="宋体"/>
                <w:color w:val="auto"/>
                <w:kern w:val="2"/>
                <w:sz w:val="20"/>
                <w:szCs w:val="20"/>
                <w:highlight w:val="none"/>
                <w:vertAlign w:val="baseline"/>
                <w:lang w:val="en-US" w:eastAsia="zh-CN" w:bidi="zh-CN"/>
              </w:rPr>
              <w:t>人工清扫保洁人员</w:t>
            </w:r>
          </w:p>
        </w:tc>
        <w:tc>
          <w:tcPr>
            <w:tcW w:w="2841"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2</w:t>
            </w:r>
          </w:p>
        </w:tc>
        <w:tc>
          <w:tcPr>
            <w:tcW w:w="4777"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default" w:ascii="宋体" w:hAnsi="宋体" w:eastAsia="宋体" w:cs="宋体"/>
                <w:color w:val="auto"/>
                <w:kern w:val="2"/>
                <w:sz w:val="20"/>
                <w:szCs w:val="20"/>
                <w:highlight w:val="none"/>
                <w:vertAlign w:val="baseline"/>
                <w:lang w:val="en-US" w:eastAsia="zh-CN" w:bidi="zh-CN"/>
              </w:rPr>
              <w:t>人工配合机械道路保洁人员</w:t>
            </w:r>
          </w:p>
        </w:tc>
        <w:tc>
          <w:tcPr>
            <w:tcW w:w="2841"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3</w:t>
            </w:r>
          </w:p>
        </w:tc>
        <w:tc>
          <w:tcPr>
            <w:tcW w:w="4777"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default" w:ascii="宋体" w:hAnsi="宋体" w:eastAsia="宋体" w:cs="宋体"/>
                <w:color w:val="auto"/>
                <w:kern w:val="2"/>
                <w:sz w:val="20"/>
                <w:szCs w:val="20"/>
                <w:highlight w:val="none"/>
                <w:vertAlign w:val="baseline"/>
                <w:lang w:val="en-US" w:eastAsia="zh-CN" w:bidi="zh-CN"/>
              </w:rPr>
              <w:t>环卫作业车辆人员</w:t>
            </w:r>
          </w:p>
        </w:tc>
        <w:tc>
          <w:tcPr>
            <w:tcW w:w="2841"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4</w:t>
            </w:r>
          </w:p>
        </w:tc>
        <w:tc>
          <w:tcPr>
            <w:tcW w:w="4777"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default" w:ascii="宋体" w:hAnsi="宋体" w:eastAsia="宋体" w:cs="宋体"/>
                <w:color w:val="auto"/>
                <w:kern w:val="2"/>
                <w:sz w:val="20"/>
                <w:szCs w:val="20"/>
                <w:highlight w:val="none"/>
                <w:vertAlign w:val="baseline"/>
                <w:lang w:val="en-US" w:eastAsia="zh-CN" w:bidi="zh-CN"/>
              </w:rPr>
              <w:t>维修和备用人员</w:t>
            </w:r>
          </w:p>
        </w:tc>
        <w:tc>
          <w:tcPr>
            <w:tcW w:w="2841" w:type="dxa"/>
          </w:tcPr>
          <w:p>
            <w:pPr>
              <w:widowControl w:val="0"/>
              <w:spacing w:before="161"/>
              <w:ind w:left="120"/>
              <w:jc w:val="center"/>
              <w:rPr>
                <w:rFonts w:hint="default" w:ascii="宋体" w:hAnsi="宋体" w:eastAsia="宋体" w:cs="宋体"/>
                <w:color w:val="auto"/>
                <w:kern w:val="2"/>
                <w:sz w:val="20"/>
                <w:szCs w:val="20"/>
                <w:highlight w:val="none"/>
                <w:vertAlign w:val="baseline"/>
                <w:lang w:val="en-US" w:eastAsia="zh-CN" w:bidi="zh-CN"/>
              </w:rPr>
            </w:pPr>
            <w:r>
              <w:rPr>
                <w:rFonts w:hint="eastAsia" w:ascii="宋体" w:hAnsi="宋体" w:eastAsia="宋体" w:cs="宋体"/>
                <w:color w:val="auto"/>
                <w:kern w:val="2"/>
                <w:sz w:val="20"/>
                <w:szCs w:val="20"/>
                <w:highlight w:val="none"/>
                <w:vertAlign w:val="baseline"/>
                <w:lang w:val="en-US" w:eastAsia="zh-CN" w:bidi="zh-CN"/>
              </w:rPr>
              <w:t>2</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1、本项目须投入人员数量不少于以上清单，如遇相关人员数量不足的情况，必须根据实际所需增加。人员在职期间，男不得超过60周岁，女不得超过55周岁。如国家政策发生改变时，按新的国家政策执行。</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2、中标人</w:t>
      </w:r>
      <w:r>
        <w:rPr>
          <w:rFonts w:hint="eastAsia" w:ascii="宋体" w:hAnsi="宋体" w:eastAsia="宋体" w:cs="宋体"/>
          <w:color w:val="auto"/>
          <w:kern w:val="2"/>
          <w:sz w:val="21"/>
          <w:szCs w:val="21"/>
          <w:highlight w:val="none"/>
          <w:lang w:val="zh-CN" w:eastAsia="zh-CN" w:bidi="zh-CN"/>
        </w:rPr>
        <w:t>应接收自愿留下的采购人和原承包单位环卫</w:t>
      </w:r>
      <w:r>
        <w:rPr>
          <w:rFonts w:hint="eastAsia" w:ascii="宋体" w:hAnsi="宋体" w:eastAsia="宋体" w:cs="宋体"/>
          <w:color w:val="auto"/>
          <w:kern w:val="2"/>
          <w:sz w:val="21"/>
          <w:szCs w:val="21"/>
          <w:highlight w:val="none"/>
          <w:lang w:val="en-US" w:eastAsia="zh-CN" w:bidi="zh-CN"/>
        </w:rPr>
        <w:t>工人，所有合同期内工人工资标准必须符合劳动法及相关法律法规，且工人最低工资不能低于东莞市最新公布的 “东莞市劳动力市场工资指导价位”对应行业的工资。同时，工人加班的劳动报酬也必须符合劳动法及相关行业的法律法规。</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3、为提高本社区的就业率，</w:t>
      </w:r>
      <w:r>
        <w:rPr>
          <w:rFonts w:hint="eastAsia" w:ascii="宋体" w:hAnsi="宋体" w:eastAsia="宋体" w:cs="宋体"/>
          <w:color w:val="auto"/>
          <w:sz w:val="21"/>
          <w:szCs w:val="21"/>
          <w:highlight w:val="none"/>
        </w:rPr>
        <w:t>在同等条件下，</w:t>
      </w:r>
      <w:r>
        <w:rPr>
          <w:rFonts w:hint="eastAsia" w:ascii="宋体" w:hAnsi="宋体" w:eastAsia="宋体" w:cs="宋体"/>
          <w:color w:val="auto"/>
          <w:sz w:val="21"/>
          <w:szCs w:val="21"/>
          <w:highlight w:val="none"/>
          <w:lang w:eastAsia="zh-CN"/>
        </w:rPr>
        <w:t>中标人需</w:t>
      </w:r>
      <w:r>
        <w:rPr>
          <w:rFonts w:hint="eastAsia" w:ascii="宋体" w:hAnsi="宋体" w:eastAsia="宋体" w:cs="宋体"/>
          <w:color w:val="auto"/>
          <w:sz w:val="21"/>
          <w:szCs w:val="21"/>
          <w:highlight w:val="none"/>
        </w:rPr>
        <w:t>优先</w:t>
      </w:r>
      <w:r>
        <w:rPr>
          <w:rFonts w:hint="eastAsia" w:ascii="宋体" w:hAnsi="宋体" w:eastAsia="宋体" w:cs="宋体"/>
          <w:color w:val="auto"/>
          <w:sz w:val="21"/>
          <w:szCs w:val="21"/>
          <w:highlight w:val="none"/>
          <w:lang w:eastAsia="zh-CN"/>
        </w:rPr>
        <w:t>招聘</w:t>
      </w:r>
      <w:r>
        <w:rPr>
          <w:rFonts w:hint="eastAsia" w:ascii="宋体" w:hAnsi="宋体" w:eastAsia="宋体" w:cs="宋体"/>
          <w:color w:val="auto"/>
          <w:sz w:val="21"/>
          <w:szCs w:val="21"/>
          <w:highlight w:val="none"/>
        </w:rPr>
        <w:t>接收</w:t>
      </w:r>
      <w:r>
        <w:rPr>
          <w:rFonts w:hint="eastAsia" w:ascii="宋体" w:hAnsi="宋体" w:eastAsia="宋体" w:cs="宋体"/>
          <w:color w:val="auto"/>
          <w:sz w:val="21"/>
          <w:szCs w:val="21"/>
          <w:highlight w:val="none"/>
          <w:lang w:eastAsia="zh-CN"/>
        </w:rPr>
        <w:t>本地的</w:t>
      </w:r>
      <w:r>
        <w:rPr>
          <w:rFonts w:hint="eastAsia" w:ascii="宋体" w:hAnsi="宋体" w:eastAsia="宋体" w:cs="宋体"/>
          <w:color w:val="auto"/>
          <w:sz w:val="21"/>
          <w:szCs w:val="21"/>
          <w:highlight w:val="none"/>
        </w:rPr>
        <w:t>环卫工人</w:t>
      </w:r>
      <w:r>
        <w:rPr>
          <w:rFonts w:hint="eastAsia" w:ascii="宋体" w:hAnsi="宋体" w:eastAsia="宋体" w:cs="宋体"/>
          <w:color w:val="auto"/>
          <w:sz w:val="21"/>
          <w:szCs w:val="21"/>
          <w:highlight w:val="none"/>
          <w:lang w:eastAsia="zh-CN"/>
        </w:rPr>
        <w:t>。</w:t>
      </w:r>
    </w:p>
    <w:p>
      <w:pPr>
        <w:pStyle w:val="2"/>
        <w:rPr>
          <w:rFonts w:hint="default"/>
          <w:color w:val="auto"/>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firstLine="0" w:firstLineChars="0"/>
        <w:jc w:val="both"/>
        <w:textAlignment w:val="auto"/>
        <w:rPr>
          <w:rFonts w:hint="default" w:ascii="Calibri" w:hAnsi="Calibri" w:eastAsia="宋体" w:cs="Times New Roman"/>
          <w:b/>
          <w:bCs/>
          <w:color w:val="auto"/>
          <w:kern w:val="2"/>
          <w:sz w:val="24"/>
          <w:szCs w:val="32"/>
          <w:highlight w:val="none"/>
          <w:lang w:val="en-US" w:eastAsia="zh-CN"/>
        </w:rPr>
      </w:pPr>
      <w:r>
        <w:rPr>
          <w:rFonts w:hint="eastAsia" w:ascii="Calibri" w:hAnsi="Calibri" w:eastAsia="宋体" w:cs="Times New Roman"/>
          <w:b/>
          <w:bCs/>
          <w:color w:val="auto"/>
          <w:kern w:val="2"/>
          <w:sz w:val="24"/>
          <w:szCs w:val="32"/>
          <w:highlight w:val="none"/>
          <w:lang w:val="en-US" w:eastAsia="zh-CN"/>
        </w:rPr>
        <w:t>考核评分办法</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（一）检查制度</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1.采购人对发包范围内的区域道路清扫保洁、公厕保洁情况进行考核，包括日常检查、月度明检相结合考核方式。</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2.考核按《石涌社区环卫保洁项目绩效考核暂行标准》进行评分，根据考核结果支付季度承包费用。</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3.检查人员必须严格遵守标准进行实际操作，不能以权谋私，玩忽职守。</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日常检查（占50%）：由采购人组织成立日常检查工作小组，每天对村开展环卫保洁巡查监督，检查发现的问题以拍照形式进行记录，问题图片按照《石涌社区环卫保洁项目绩效考核暂行标准》（详见表1）进行扣分，具体工作由村委人员组织安排。</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（2）月度明检（占50%）：由村委人员组织成立检查工作小组，</w:t>
      </w:r>
      <w:r>
        <w:rPr>
          <w:rFonts w:hint="eastAsia" w:ascii="宋体" w:hAnsi="宋体" w:eastAsia="宋体" w:cs="宋体"/>
          <w:color w:val="auto"/>
          <w:kern w:val="2"/>
          <w:sz w:val="21"/>
          <w:szCs w:val="21"/>
          <w:highlight w:val="none"/>
          <w:lang w:bidi="zh-CN"/>
        </w:rPr>
        <w:t>每月最后一周举行</w:t>
      </w:r>
      <w:r>
        <w:rPr>
          <w:rFonts w:hint="eastAsia" w:ascii="宋体" w:hAnsi="宋体" w:eastAsia="宋体" w:cs="宋体"/>
          <w:color w:val="auto"/>
          <w:kern w:val="2"/>
          <w:sz w:val="21"/>
          <w:szCs w:val="21"/>
          <w:highlight w:val="none"/>
          <w:lang w:val="en-US" w:bidi="zh-CN"/>
        </w:rPr>
        <w:t>巡查监督，</w:t>
      </w:r>
      <w:r>
        <w:rPr>
          <w:rFonts w:hint="eastAsia" w:ascii="宋体" w:hAnsi="宋体" w:eastAsia="宋体" w:cs="宋体"/>
          <w:color w:val="auto"/>
          <w:kern w:val="2"/>
          <w:sz w:val="21"/>
          <w:szCs w:val="21"/>
          <w:highlight w:val="none"/>
          <w:lang w:val="en-US" w:eastAsia="zh-CN" w:bidi="zh-CN"/>
        </w:rPr>
        <w:t>检查发现的问题以拍照形式进行记录，问题图片按照《石涌社区环卫保洁项目绩效考核暂行标准》（详见表1）进行扣分。</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3.考核结果运用</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default" w:ascii="宋体" w:hAnsi="宋体" w:eastAsia="宋体" w:cs="宋体"/>
          <w:b w:val="0"/>
          <w:bCs w:val="0"/>
          <w:color w:val="auto"/>
          <w:kern w:val="2"/>
          <w:sz w:val="21"/>
          <w:szCs w:val="21"/>
          <w:highlight w:val="none"/>
          <w:lang w:val="en-US" w:eastAsia="zh-CN" w:bidi="zh-CN"/>
        </w:rPr>
      </w:pPr>
      <w:r>
        <w:rPr>
          <w:rFonts w:hint="eastAsia" w:ascii="宋体" w:hAnsi="宋体" w:eastAsia="宋体" w:cs="宋体"/>
          <w:b w:val="0"/>
          <w:bCs w:val="0"/>
          <w:color w:val="auto"/>
          <w:kern w:val="2"/>
          <w:sz w:val="21"/>
          <w:szCs w:val="21"/>
          <w:highlight w:val="none"/>
          <w:lang w:val="en-US" w:eastAsia="zh-CN" w:bidi="zh-CN"/>
        </w:rPr>
        <w:t>采购人考核按将照</w:t>
      </w:r>
      <w:r>
        <w:rPr>
          <w:rFonts w:hint="eastAsia" w:ascii="宋体" w:hAnsi="宋体" w:eastAsia="宋体" w:cs="宋体"/>
          <w:b w:val="0"/>
          <w:bCs w:val="0"/>
          <w:color w:val="auto"/>
          <w:kern w:val="2"/>
          <w:sz w:val="21"/>
          <w:szCs w:val="21"/>
          <w:highlight w:val="none"/>
          <w:shd w:val="clear" w:color="auto" w:fill="auto"/>
          <w:lang w:val="en-US" w:eastAsia="zh-CN" w:bidi="zh-CN"/>
        </w:rPr>
        <w:t>《石涌社区环卫保洁项目绩效考核暂行标准》</w:t>
      </w:r>
      <w:r>
        <w:rPr>
          <w:rFonts w:hint="eastAsia" w:ascii="宋体" w:hAnsi="宋体" w:eastAsia="宋体" w:cs="宋体"/>
          <w:b w:val="0"/>
          <w:bCs w:val="0"/>
          <w:color w:val="auto"/>
          <w:kern w:val="2"/>
          <w:sz w:val="21"/>
          <w:szCs w:val="21"/>
          <w:highlight w:val="none"/>
          <w:lang w:val="en-US" w:eastAsia="zh-CN" w:bidi="zh-CN"/>
        </w:rPr>
        <w:t>（详见表1）进行打分。采购人每季度根据考评结果情况支付实际服务费给中标人，采购人向中标人支付方式如下：</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b w:val="0"/>
          <w:bCs w:val="0"/>
          <w:color w:val="auto"/>
          <w:kern w:val="2"/>
          <w:sz w:val="21"/>
          <w:szCs w:val="21"/>
          <w:highlight w:val="none"/>
          <w:lang w:val="en-US" w:eastAsia="zh-CN" w:bidi="zh-CN"/>
        </w:rPr>
      </w:pPr>
      <w:r>
        <w:rPr>
          <w:rFonts w:hint="eastAsia" w:ascii="宋体" w:hAnsi="宋体" w:eastAsia="宋体" w:cs="宋体"/>
          <w:b w:val="0"/>
          <w:bCs w:val="0"/>
          <w:color w:val="auto"/>
          <w:kern w:val="2"/>
          <w:sz w:val="21"/>
          <w:szCs w:val="21"/>
          <w:highlight w:val="none"/>
          <w:lang w:val="en-US" w:eastAsia="zh-CN" w:bidi="zh-CN"/>
        </w:rPr>
        <w:t>（1）每月环卫保洁费用中70%为基础保底部分，每季度向中标人发放一次；每月环卫保洁费用中30%为考核补贴部分，以考核成绩为依据，每季度向中标人发放一次。</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b w:val="0"/>
          <w:bCs w:val="0"/>
          <w:color w:val="auto"/>
          <w:kern w:val="2"/>
          <w:sz w:val="21"/>
          <w:szCs w:val="21"/>
          <w:highlight w:val="none"/>
          <w:lang w:val="en-US" w:eastAsia="zh-CN" w:bidi="zh-CN"/>
        </w:rPr>
      </w:pPr>
      <w:r>
        <w:rPr>
          <w:rFonts w:hint="eastAsia" w:ascii="宋体" w:hAnsi="宋体" w:eastAsia="宋体" w:cs="宋体"/>
          <w:b w:val="0"/>
          <w:bCs w:val="0"/>
          <w:color w:val="auto"/>
          <w:kern w:val="2"/>
          <w:sz w:val="21"/>
          <w:szCs w:val="21"/>
          <w:highlight w:val="none"/>
          <w:lang w:val="en-US" w:eastAsia="zh-CN" w:bidi="zh-CN"/>
        </w:rPr>
        <w:t>（2）采购人考核结果：90分（含）以上为良好，不扣除当月服务费用，90分以下的（不含90分）85分以上（含85分），每扣1分，则当月相应扣减10000元服务费用。85分以下（不含85分），每扣1分，则当月相应扣减20000元服务费用。以上分值若出现小数点后尾数，则向下取整。如中标单位得分为84.5分，根据上述要求，计算扣减补贴费用的分值为84分，则当月扣款为（90-85）*10000+（85-84）*20000=70000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注：中标人需无条件配合采购人或上级部门的考核及抽查，若中标人在履约合同过程中因自身原因导致采购人被罚款，款项将由中标人承担；若因中标人环卫保洁工作被扣分而评入黑榜倒数后三名，采购人有权中止合同。</w:t>
      </w:r>
    </w:p>
    <w:p>
      <w:pPr>
        <w:keepNext w:val="0"/>
        <w:keepLines w:val="0"/>
        <w:pageBreakBefore w:val="0"/>
        <w:widowControl/>
        <w:kinsoku/>
        <w:wordWrap/>
        <w:overflowPunct/>
        <w:topLinePunct w:val="0"/>
        <w:autoSpaceDE/>
        <w:autoSpaceDN/>
        <w:bidi w:val="0"/>
        <w:adjustRightInd w:val="0"/>
        <w:snapToGrid w:val="0"/>
        <w:spacing w:before="181" w:beforeLines="50" w:after="181" w:afterLines="5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表1 石涌社区环卫保洁项目绩效考核暂行标准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0"/>
        <w:gridCol w:w="5826"/>
        <w:gridCol w:w="728"/>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63" w:type="pct"/>
            <w:noWrap w:val="0"/>
            <w:vAlign w:val="center"/>
          </w:tcPr>
          <w:p>
            <w:pPr>
              <w:widowControl w:val="0"/>
              <w:adjustRightInd/>
              <w:snapToGrid/>
              <w:spacing w:after="0"/>
              <w:jc w:val="center"/>
              <w:rPr>
                <w:rFonts w:hint="eastAsia" w:ascii="宋体" w:hAnsi="宋体" w:eastAsia="宋体" w:cs="宋体"/>
                <w:b/>
                <w:bCs/>
                <w:color w:val="auto"/>
                <w:kern w:val="2"/>
                <w:sz w:val="21"/>
                <w:szCs w:val="24"/>
                <w:highlight w:val="none"/>
              </w:rPr>
            </w:pPr>
            <w:r>
              <w:rPr>
                <w:rFonts w:hint="eastAsia" w:ascii="宋体" w:hAnsi="宋体" w:eastAsia="宋体" w:cs="宋体"/>
                <w:b/>
                <w:bCs/>
                <w:color w:val="auto"/>
                <w:kern w:val="2"/>
                <w:sz w:val="21"/>
                <w:szCs w:val="24"/>
                <w:highlight w:val="none"/>
              </w:rPr>
              <w:t>检查项目</w:t>
            </w:r>
          </w:p>
        </w:tc>
        <w:tc>
          <w:tcPr>
            <w:tcW w:w="3418" w:type="pct"/>
            <w:noWrap w:val="0"/>
            <w:vAlign w:val="center"/>
          </w:tcPr>
          <w:p>
            <w:pPr>
              <w:widowControl w:val="0"/>
              <w:adjustRightInd/>
              <w:snapToGrid/>
              <w:spacing w:after="0"/>
              <w:jc w:val="center"/>
              <w:rPr>
                <w:rFonts w:hint="eastAsia" w:ascii="宋体" w:hAnsi="宋体" w:eastAsia="宋体" w:cs="宋体"/>
                <w:b/>
                <w:bCs/>
                <w:color w:val="auto"/>
                <w:kern w:val="2"/>
                <w:sz w:val="21"/>
                <w:szCs w:val="24"/>
                <w:highlight w:val="none"/>
              </w:rPr>
            </w:pPr>
            <w:r>
              <w:rPr>
                <w:rFonts w:hint="eastAsia" w:ascii="宋体" w:hAnsi="宋体" w:eastAsia="宋体" w:cs="宋体"/>
                <w:b/>
                <w:bCs/>
                <w:color w:val="auto"/>
                <w:kern w:val="2"/>
                <w:sz w:val="21"/>
                <w:szCs w:val="24"/>
                <w:highlight w:val="none"/>
              </w:rPr>
              <w:t>检查要求</w:t>
            </w:r>
          </w:p>
        </w:tc>
        <w:tc>
          <w:tcPr>
            <w:tcW w:w="427" w:type="pct"/>
            <w:noWrap w:val="0"/>
            <w:vAlign w:val="center"/>
          </w:tcPr>
          <w:p>
            <w:pPr>
              <w:widowControl w:val="0"/>
              <w:adjustRightInd/>
              <w:snapToGrid/>
              <w:spacing w:after="0"/>
              <w:jc w:val="center"/>
              <w:rPr>
                <w:rFonts w:hint="eastAsia" w:ascii="宋体" w:hAnsi="宋体" w:eastAsia="宋体" w:cs="宋体"/>
                <w:b/>
                <w:bCs/>
                <w:color w:val="auto"/>
                <w:kern w:val="2"/>
                <w:sz w:val="21"/>
                <w:szCs w:val="24"/>
                <w:highlight w:val="none"/>
              </w:rPr>
            </w:pPr>
            <w:r>
              <w:rPr>
                <w:rFonts w:hint="eastAsia" w:ascii="宋体" w:hAnsi="宋体" w:eastAsia="宋体" w:cs="宋体"/>
                <w:b/>
                <w:bCs/>
                <w:color w:val="auto"/>
                <w:kern w:val="2"/>
                <w:sz w:val="21"/>
                <w:szCs w:val="24"/>
                <w:highlight w:val="none"/>
              </w:rPr>
              <w:t>分值</w:t>
            </w:r>
          </w:p>
        </w:tc>
        <w:tc>
          <w:tcPr>
            <w:tcW w:w="390" w:type="pct"/>
            <w:noWrap w:val="0"/>
            <w:vAlign w:val="center"/>
          </w:tcPr>
          <w:p>
            <w:pPr>
              <w:widowControl w:val="0"/>
              <w:adjustRightInd/>
              <w:snapToGrid/>
              <w:spacing w:after="0"/>
              <w:jc w:val="center"/>
              <w:rPr>
                <w:rFonts w:hint="eastAsia" w:ascii="宋体" w:hAnsi="宋体" w:eastAsia="宋体" w:cs="宋体"/>
                <w:b/>
                <w:bCs/>
                <w:color w:val="auto"/>
                <w:kern w:val="2"/>
                <w:sz w:val="21"/>
                <w:szCs w:val="24"/>
                <w:highlight w:val="none"/>
              </w:rPr>
            </w:pPr>
            <w:r>
              <w:rPr>
                <w:rFonts w:hint="eastAsia" w:ascii="宋体" w:hAnsi="宋体" w:eastAsia="宋体" w:cs="宋体"/>
                <w:b/>
                <w:bCs/>
                <w:color w:val="auto"/>
                <w:kern w:val="2"/>
                <w:sz w:val="21"/>
                <w:szCs w:val="24"/>
                <w:highlight w:val="none"/>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restart"/>
            <w:noWrap w:val="0"/>
            <w:vAlign w:val="center"/>
          </w:tcPr>
          <w:p>
            <w:pPr>
              <w:widowControl/>
              <w:adjustRightInd/>
              <w:snapToGrid/>
              <w:spacing w:after="0" w:line="320" w:lineRule="exac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bidi="ar"/>
              </w:rPr>
              <w:t>（一）</w:t>
            </w:r>
          </w:p>
          <w:p>
            <w:pPr>
              <w:widowControl w:val="0"/>
              <w:adjustRightInd/>
              <w:snapToGrid/>
              <w:spacing w:after="0"/>
              <w:jc w:val="center"/>
              <w:rPr>
                <w:rFonts w:hint="eastAsia" w:ascii="宋体" w:hAnsi="宋体" w:eastAsia="宋体" w:cs="宋体"/>
                <w:color w:val="auto"/>
                <w:kern w:val="2"/>
                <w:sz w:val="21"/>
                <w:szCs w:val="24"/>
                <w:highlight w:val="none"/>
              </w:rPr>
            </w:pPr>
            <w:r>
              <w:rPr>
                <w:rFonts w:hint="eastAsia" w:ascii="宋体" w:hAnsi="宋体" w:eastAsia="宋体" w:cs="宋体"/>
                <w:color w:val="auto"/>
                <w:kern w:val="0"/>
                <w:sz w:val="21"/>
                <w:szCs w:val="21"/>
                <w:highlight w:val="none"/>
                <w:lang w:bidi="ar"/>
              </w:rPr>
              <w:t>市政公厕保洁</w:t>
            </w: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1、公共厕所的标牌（导向指示牌、标识牌、责任牌、保洁制度牌等）应设置合理，存在缺损、歪倒、设置不合理、不清晰、有污迹等现象的，每例（处）扣减</w:t>
            </w:r>
            <w:r>
              <w:rPr>
                <w:rFonts w:hint="eastAsia" w:ascii="宋体" w:hAnsi="宋体" w:eastAsia="宋体" w:cs="宋体"/>
                <w:color w:val="auto"/>
                <w:kern w:val="0"/>
                <w:sz w:val="21"/>
                <w:szCs w:val="21"/>
                <w:highlight w:val="none"/>
                <w:lang w:bidi="ar"/>
              </w:rPr>
              <w:t>0.5分。</w:t>
            </w:r>
          </w:p>
        </w:tc>
        <w:tc>
          <w:tcPr>
            <w:tcW w:w="427" w:type="pct"/>
            <w:vMerge w:val="restart"/>
            <w:noWrap w:val="0"/>
            <w:vAlign w:val="center"/>
          </w:tcPr>
          <w:p>
            <w:pPr>
              <w:widowControl w:val="0"/>
              <w:adjustRightInd/>
              <w:snapToGrid/>
              <w:spacing w:after="0"/>
              <w:jc w:val="center"/>
              <w:rPr>
                <w:rFonts w:hint="eastAsia" w:ascii="宋体" w:hAnsi="宋体" w:eastAsia="宋体" w:cs="宋体"/>
                <w:color w:val="auto"/>
                <w:kern w:val="2"/>
                <w:sz w:val="21"/>
                <w:szCs w:val="24"/>
                <w:highlight w:val="none"/>
                <w:lang w:val="en-US" w:eastAsia="zh-CN"/>
              </w:rPr>
            </w:pPr>
            <w:r>
              <w:rPr>
                <w:rFonts w:hint="eastAsia" w:ascii="宋体" w:hAnsi="宋体" w:eastAsia="宋体" w:cs="宋体"/>
                <w:color w:val="auto"/>
                <w:kern w:val="2"/>
                <w:sz w:val="21"/>
                <w:szCs w:val="24"/>
                <w:highlight w:val="none"/>
                <w:lang w:val="en-US" w:eastAsia="zh-CN"/>
              </w:rPr>
              <w:t>10</w:t>
            </w: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2、</w:t>
            </w:r>
            <w:r>
              <w:rPr>
                <w:rFonts w:hint="eastAsia" w:ascii="宋体" w:hAnsi="宋体" w:eastAsia="宋体" w:cs="宋体"/>
                <w:color w:val="auto"/>
                <w:kern w:val="0"/>
                <w:sz w:val="21"/>
                <w:szCs w:val="21"/>
                <w:highlight w:val="none"/>
                <w:lang w:bidi="ar"/>
              </w:rPr>
              <w:t>责任牌中落实责任人和保洁人员的；放置巡查表或巡查表按标准及时填写的，及时填写</w:t>
            </w:r>
            <w:r>
              <w:rPr>
                <w:rFonts w:hint="eastAsia" w:ascii="宋体" w:hAnsi="宋体" w:eastAsia="宋体" w:cs="宋体"/>
                <w:color w:val="auto"/>
                <w:kern w:val="2"/>
                <w:sz w:val="21"/>
                <w:szCs w:val="21"/>
                <w:highlight w:val="none"/>
                <w:lang w:bidi="ar"/>
              </w:rPr>
              <w:t>设备、设施等维修记录的</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3、</w:t>
            </w:r>
            <w:r>
              <w:rPr>
                <w:rFonts w:hint="eastAsia" w:ascii="宋体" w:hAnsi="宋体" w:eastAsia="宋体" w:cs="宋体"/>
                <w:color w:val="auto"/>
                <w:kern w:val="0"/>
                <w:sz w:val="21"/>
                <w:szCs w:val="21"/>
                <w:highlight w:val="none"/>
                <w:lang w:bidi="ar"/>
              </w:rPr>
              <w:t>公厕未执行“所长制”的，每例扣减0.5分。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4、保洁和管理人员未穿工作服、衣着不整、服务态度差，未佩证上岗，每例扣减0.5</w:t>
            </w:r>
            <w:r>
              <w:rPr>
                <w:rFonts w:hint="eastAsia" w:ascii="宋体" w:hAnsi="宋体" w:eastAsia="宋体" w:cs="宋体"/>
                <w:color w:val="auto"/>
                <w:kern w:val="0"/>
                <w:sz w:val="21"/>
                <w:szCs w:val="21"/>
                <w:highlight w:val="none"/>
                <w:lang w:bidi="ar"/>
              </w:rPr>
              <w:t>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5、供水、供电、排水、通风等设备不能正常使用；墙壁、地面、隔断板、洗手台、门窗、便器、开关、手柄，门锁、灯具、挂物钩、面镜等设施破损的，每例（处）扣减0.5分。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6、未配置擦手纸、洗手液、垃圾桶、面镜等物品的，每例（处）扣减0.5分。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7、厕所内有臭味的，每例扣减0.</w:t>
            </w:r>
            <w:r>
              <w:rPr>
                <w:rFonts w:hint="eastAsia" w:ascii="宋体" w:hAnsi="宋体" w:eastAsia="宋体" w:cs="宋体"/>
                <w:color w:val="auto"/>
                <w:kern w:val="0"/>
                <w:sz w:val="21"/>
                <w:szCs w:val="21"/>
                <w:highlight w:val="none"/>
                <w:lang w:bidi="ar"/>
              </w:rPr>
              <w:t>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8、地面湿滑有污物，便器冲刷不及时，有粪迹、尿迹、痰迹、垃圾等污物的，每例（处）扣减0.</w:t>
            </w:r>
            <w:r>
              <w:rPr>
                <w:rFonts w:hint="eastAsia" w:ascii="宋体" w:hAnsi="宋体" w:eastAsia="宋体" w:cs="宋体"/>
                <w:color w:val="auto"/>
                <w:kern w:val="0"/>
                <w:sz w:val="21"/>
                <w:szCs w:val="21"/>
                <w:highlight w:val="none"/>
                <w:lang w:bidi="ar"/>
              </w:rPr>
              <w:t>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9、公厕内外墙壁、门窗、隔断板、天花板等有乱涂乱画、污迹、蛛网、积灰，每例（处）扣减0.5分。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10、公厕周围5米范围内（含绿化）有垃圾、粪便、污水的等污物，每例（处）扣减0.</w:t>
            </w:r>
            <w:r>
              <w:rPr>
                <w:rFonts w:hint="eastAsia" w:ascii="宋体" w:hAnsi="宋体" w:eastAsia="宋体" w:cs="宋体"/>
                <w:color w:val="auto"/>
                <w:kern w:val="0"/>
                <w:sz w:val="21"/>
                <w:szCs w:val="21"/>
                <w:highlight w:val="none"/>
                <w:lang w:bidi="ar"/>
              </w:rPr>
              <w:t>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11、不能有其它影响环境卫生、市容市貌的现象存在</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restart"/>
            <w:noWrap w:val="0"/>
            <w:vAlign w:val="center"/>
          </w:tcPr>
          <w:p>
            <w:pPr>
              <w:widowControl w:val="0"/>
              <w:adjustRightInd/>
              <w:snapToGrid/>
              <w:spacing w:after="0"/>
              <w:jc w:val="center"/>
              <w:rPr>
                <w:rFonts w:hint="eastAsia" w:ascii="宋体" w:hAnsi="宋体" w:eastAsia="宋体" w:cs="宋体"/>
                <w:color w:val="auto"/>
                <w:kern w:val="2"/>
                <w:sz w:val="21"/>
                <w:szCs w:val="24"/>
                <w:highlight w:val="none"/>
              </w:rPr>
            </w:pPr>
            <w:r>
              <w:rPr>
                <w:rFonts w:hint="eastAsia" w:ascii="宋体" w:hAnsi="宋体" w:eastAsia="宋体" w:cs="宋体"/>
                <w:color w:val="auto"/>
                <w:kern w:val="0"/>
                <w:sz w:val="21"/>
                <w:szCs w:val="21"/>
                <w:highlight w:val="none"/>
                <w:lang w:bidi="ar"/>
              </w:rPr>
              <w:t>（二）道路清扫保洁</w:t>
            </w: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1、</w:t>
            </w:r>
            <w:r>
              <w:rPr>
                <w:rFonts w:hint="eastAsia" w:ascii="宋体" w:hAnsi="宋体" w:eastAsia="宋体" w:cs="宋体"/>
                <w:color w:val="auto"/>
                <w:kern w:val="0"/>
                <w:sz w:val="21"/>
                <w:szCs w:val="21"/>
                <w:highlight w:val="none"/>
                <w:lang w:bidi="ar"/>
              </w:rPr>
              <w:t>道路可视范围内散落垃圾、成堆垃圾或建筑垃圾、大件垃圾、树上、电线上或围栏上等的空中垃圾、花架、亭、廊等屋顶，顶棚，遮阳棚上等有散落垃圾、积落的枝叶、绿化带内发现有垃圾等积存，每次（处）扣减0.5分。</w:t>
            </w:r>
          </w:p>
        </w:tc>
        <w:tc>
          <w:tcPr>
            <w:tcW w:w="427" w:type="pct"/>
            <w:vMerge w:val="restart"/>
            <w:noWrap w:val="0"/>
            <w:vAlign w:val="center"/>
          </w:tcPr>
          <w:p>
            <w:pPr>
              <w:widowControl w:val="0"/>
              <w:adjustRightInd/>
              <w:snapToGrid/>
              <w:spacing w:after="0"/>
              <w:jc w:val="center"/>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 xml:space="preserve"> </w:t>
            </w:r>
          </w:p>
          <w:p>
            <w:pPr>
              <w:widowControl w:val="0"/>
              <w:adjustRightInd/>
              <w:snapToGrid/>
              <w:spacing w:after="0"/>
              <w:jc w:val="center"/>
              <w:rPr>
                <w:rFonts w:hint="default" w:ascii="宋体" w:hAnsi="宋体" w:eastAsia="宋体" w:cs="宋体"/>
                <w:color w:val="auto"/>
                <w:kern w:val="2"/>
                <w:sz w:val="21"/>
                <w:szCs w:val="24"/>
                <w:highlight w:val="none"/>
                <w:lang w:val="en-US" w:eastAsia="zh-CN"/>
              </w:rPr>
            </w:pPr>
            <w:r>
              <w:rPr>
                <w:rFonts w:hint="eastAsia" w:ascii="宋体" w:hAnsi="宋体" w:eastAsia="宋体" w:cs="宋体"/>
                <w:color w:val="auto"/>
                <w:kern w:val="2"/>
                <w:sz w:val="21"/>
                <w:szCs w:val="24"/>
                <w:highlight w:val="none"/>
                <w:lang w:val="en-US" w:eastAsia="zh-CN"/>
              </w:rPr>
              <w:t>25</w:t>
            </w: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0"/>
                <w:sz w:val="21"/>
                <w:szCs w:val="21"/>
                <w:highlight w:val="none"/>
                <w:lang w:bidi="ar"/>
              </w:rPr>
              <w:t>2、地面、侧平石等有明显污渍的，每处扣减0.5分。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3、</w:t>
            </w:r>
            <w:r>
              <w:rPr>
                <w:rFonts w:hint="eastAsia" w:ascii="宋体" w:hAnsi="宋体" w:eastAsia="宋体" w:cs="宋体"/>
                <w:color w:val="auto"/>
                <w:kern w:val="0"/>
                <w:sz w:val="21"/>
                <w:szCs w:val="21"/>
                <w:highlight w:val="none"/>
                <w:lang w:bidi="ar"/>
              </w:rPr>
              <w:t>排水系统（窨井盖周围、雨水口下方等）附近垃圾清扫不及时，每处扣减0.5分。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4、</w:t>
            </w:r>
            <w:r>
              <w:rPr>
                <w:rFonts w:hint="eastAsia" w:ascii="宋体" w:hAnsi="宋体" w:eastAsia="宋体" w:cs="宋体"/>
                <w:color w:val="auto"/>
                <w:kern w:val="0"/>
                <w:sz w:val="21"/>
                <w:szCs w:val="21"/>
                <w:highlight w:val="none"/>
                <w:lang w:bidi="ar"/>
              </w:rPr>
              <w:t>道路可视范围内有泥沙、污泥、污水、积水（雨天除外）或污渍、青苔等的，每次（处）扣减0.5分。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0"/>
                <w:sz w:val="21"/>
                <w:szCs w:val="21"/>
                <w:highlight w:val="none"/>
                <w:lang w:bidi="ar"/>
              </w:rPr>
              <w:t>5、有蜘蛛网的，每次（处）扣减0.5分。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6、有私自焚烧垃圾、偷倒垃圾等的</w:t>
            </w:r>
            <w:r>
              <w:rPr>
                <w:rFonts w:hint="eastAsia" w:ascii="宋体" w:hAnsi="宋体" w:eastAsia="宋体" w:cs="宋体"/>
                <w:color w:val="auto"/>
                <w:kern w:val="0"/>
                <w:sz w:val="21"/>
                <w:szCs w:val="21"/>
                <w:highlight w:val="none"/>
                <w:lang w:bidi="ar"/>
              </w:rPr>
              <w:t>，每次（处）扣减1分。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7、及时清理各种原因造成的道路污染和路障，并视实际需要或应采购人要求进行降尘或冲洗</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center"/>
          </w:tcPr>
          <w:p>
            <w:pPr>
              <w:widowControl w:val="0"/>
              <w:adjustRightInd/>
              <w:snapToGrid/>
              <w:spacing w:after="0"/>
              <w:jc w:val="center"/>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8、</w:t>
            </w:r>
            <w:r>
              <w:rPr>
                <w:rFonts w:hint="eastAsia" w:ascii="宋体" w:hAnsi="宋体" w:eastAsia="宋体" w:cs="宋体"/>
                <w:color w:val="auto"/>
                <w:kern w:val="0"/>
                <w:sz w:val="21"/>
                <w:szCs w:val="21"/>
                <w:highlight w:val="none"/>
                <w:lang w:bidi="ar"/>
              </w:rPr>
              <w:t>道路保洁机械化</w:t>
            </w:r>
            <w:r>
              <w:rPr>
                <w:rFonts w:hint="eastAsia" w:ascii="宋体" w:hAnsi="宋体" w:eastAsia="宋体" w:cs="宋体"/>
                <w:color w:val="auto"/>
                <w:kern w:val="2"/>
                <w:sz w:val="21"/>
                <w:szCs w:val="21"/>
                <w:highlight w:val="none"/>
                <w:lang w:bidi="ar"/>
              </w:rPr>
              <w:t>作业时不能有洒漏、偷排污水、污染路面等现象</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center"/>
          </w:tcPr>
          <w:p>
            <w:pPr>
              <w:widowControl w:val="0"/>
              <w:adjustRightInd/>
              <w:snapToGrid/>
              <w:spacing w:after="0"/>
              <w:jc w:val="center"/>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9、垃圾不得偷倒或者扫入排水口、绿化带和闲置地</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10、未将清扫保洁垃圾及时收集到周边垃圾收集点（站）的，</w:t>
            </w:r>
            <w:r>
              <w:rPr>
                <w:rFonts w:hint="eastAsia" w:ascii="宋体" w:hAnsi="宋体" w:eastAsia="宋体" w:cs="宋体"/>
                <w:color w:val="auto"/>
                <w:kern w:val="0"/>
                <w:sz w:val="21"/>
                <w:szCs w:val="21"/>
                <w:highlight w:val="none"/>
                <w:lang w:bidi="ar"/>
              </w:rPr>
              <w:t>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11、未达以下保洁时间要求的，每次扣0.5分：</w:t>
            </w:r>
          </w:p>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一级道路每日不低于18h（普扫2次+其余时间巡回保洁），洒水≥4次/日（景观道路、重要道路辅道≥2次/日），机动车道、路沿石、人行道冲洗≥1次/日；</w:t>
            </w:r>
          </w:p>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二级道路每日不低于16h（普扫2次+其余时间巡回保洁），一般城市道路、国省道、重要县道洒水≥3次/日（辅道≥1次/日），一般商业街≥2次/日，村（社区）群众广场、一般城市公园≥2次/周；</w:t>
            </w:r>
          </w:p>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三级道路（一般县道、乡村公路）每日不低于12h（普扫1次+其余时间巡回保洁），洒水≥2次/日，机动车道、路沿石、人行道冲洗≥1次/3天；</w:t>
            </w:r>
          </w:p>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三级道路（村（社区）中心区域及居住区巷道）每日不低于16h（普扫2次+其余时间巡回保洁），洒水≥2次/日，机动车道、路沿石、人行道冲洗≥3次/1周；</w:t>
            </w:r>
          </w:p>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四级道路每日不低于8h（普扫1次+其余时间巡回保洁）。</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val="en-US" w:eastAsia="zh-CN" w:bidi="ar"/>
              </w:rPr>
              <w:t>12</w:t>
            </w:r>
            <w:r>
              <w:rPr>
                <w:rFonts w:hint="eastAsia" w:ascii="宋体" w:hAnsi="宋体" w:eastAsia="宋体" w:cs="宋体"/>
                <w:color w:val="auto"/>
                <w:kern w:val="2"/>
                <w:sz w:val="21"/>
                <w:szCs w:val="21"/>
                <w:highlight w:val="none"/>
                <w:lang w:bidi="ar"/>
              </w:rPr>
              <w:t>、合同服务内容中的保洁时间、频次和质量未满足</w:t>
            </w:r>
            <w:r>
              <w:rPr>
                <w:rFonts w:hint="eastAsia" w:ascii="宋体" w:hAnsi="宋体" w:eastAsia="宋体" w:cs="宋体"/>
                <w:color w:val="auto"/>
                <w:kern w:val="2"/>
                <w:sz w:val="21"/>
                <w:szCs w:val="24"/>
                <w:highlight w:val="none"/>
              </w:rPr>
              <w:t>《东莞市环境卫生分级分类管理与作业指引》要求的，</w:t>
            </w:r>
            <w:r>
              <w:rPr>
                <w:rFonts w:hint="eastAsia" w:ascii="宋体" w:hAnsi="宋体" w:eastAsia="宋体" w:cs="宋体"/>
                <w:color w:val="auto"/>
                <w:kern w:val="0"/>
                <w:sz w:val="21"/>
                <w:szCs w:val="21"/>
                <w:highlight w:val="none"/>
                <w:lang w:bidi="ar"/>
              </w:rPr>
              <w:t>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1</w:t>
            </w:r>
            <w:r>
              <w:rPr>
                <w:rFonts w:hint="eastAsia" w:ascii="宋体" w:hAnsi="宋体" w:eastAsia="宋体" w:cs="宋体"/>
                <w:color w:val="auto"/>
                <w:kern w:val="2"/>
                <w:sz w:val="21"/>
                <w:szCs w:val="21"/>
                <w:highlight w:val="none"/>
                <w:lang w:val="en-US" w:eastAsia="zh-CN" w:bidi="ar"/>
              </w:rPr>
              <w:t>3</w:t>
            </w:r>
            <w:r>
              <w:rPr>
                <w:rFonts w:hint="eastAsia" w:ascii="宋体" w:hAnsi="宋体" w:eastAsia="宋体" w:cs="宋体"/>
                <w:color w:val="auto"/>
                <w:kern w:val="2"/>
                <w:sz w:val="21"/>
                <w:szCs w:val="21"/>
                <w:highlight w:val="none"/>
                <w:lang w:bidi="ar"/>
              </w:rPr>
              <w:t>、不能有其它影响环境卫生、市容市貌的现象</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default"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14、</w:t>
            </w:r>
            <w:r>
              <w:rPr>
                <w:rFonts w:hint="eastAsia" w:ascii="宋体" w:hAnsi="宋体" w:eastAsia="宋体" w:cs="宋体"/>
                <w:color w:val="auto"/>
                <w:kern w:val="2"/>
                <w:sz w:val="20"/>
                <w:szCs w:val="20"/>
                <w:highlight w:val="none"/>
                <w:lang w:val="en-US" w:eastAsia="zh-CN" w:bidi="ar"/>
              </w:rPr>
              <w:t>被我镇“环卫随手拍”拍照，且未能在一小时内进行响应整改的，每次扣0.1分。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restart"/>
            <w:noWrap w:val="0"/>
            <w:vAlign w:val="center"/>
          </w:tcPr>
          <w:p>
            <w:pPr>
              <w:widowControl w:val="0"/>
              <w:adjustRightInd/>
              <w:snapToGrid/>
              <w:spacing w:after="0"/>
              <w:jc w:val="center"/>
              <w:rPr>
                <w:rFonts w:hint="eastAsia" w:ascii="宋体" w:hAnsi="宋体" w:eastAsia="宋体" w:cs="宋体"/>
                <w:color w:val="auto"/>
                <w:kern w:val="2"/>
                <w:sz w:val="21"/>
                <w:szCs w:val="24"/>
                <w:highlight w:val="none"/>
              </w:rPr>
            </w:pPr>
            <w:r>
              <w:rPr>
                <w:rFonts w:hint="eastAsia" w:ascii="宋体" w:hAnsi="宋体" w:eastAsia="宋体" w:cs="宋体"/>
                <w:color w:val="auto"/>
                <w:kern w:val="0"/>
                <w:sz w:val="21"/>
                <w:szCs w:val="21"/>
                <w:highlight w:val="none"/>
                <w:lang w:bidi="ar"/>
              </w:rPr>
              <w:t>(三)果皮箱与垃圾桶保洁与维护</w:t>
            </w: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1、果皮箱与垃圾桶定期全面清洗（清洗频次≥1次/周），垃圾容器外表不洁、倾斜歪倒或周围有散落垃圾、满溢等的，每次（处）扣减</w:t>
            </w:r>
            <w:r>
              <w:rPr>
                <w:rFonts w:hint="eastAsia" w:ascii="宋体" w:hAnsi="宋体" w:eastAsia="宋体" w:cs="宋体"/>
                <w:color w:val="auto"/>
                <w:kern w:val="0"/>
                <w:sz w:val="21"/>
                <w:szCs w:val="21"/>
                <w:highlight w:val="none"/>
                <w:lang w:bidi="ar"/>
              </w:rPr>
              <w:t>0.5分。</w:t>
            </w:r>
          </w:p>
        </w:tc>
        <w:tc>
          <w:tcPr>
            <w:tcW w:w="427" w:type="pct"/>
            <w:vMerge w:val="restart"/>
            <w:noWrap w:val="0"/>
            <w:vAlign w:val="center"/>
          </w:tcPr>
          <w:p>
            <w:pPr>
              <w:widowControl w:val="0"/>
              <w:adjustRightInd/>
              <w:snapToGrid/>
              <w:spacing w:after="0"/>
              <w:jc w:val="center"/>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5</w:t>
            </w: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2、果皮箱</w:t>
            </w:r>
            <w:r>
              <w:rPr>
                <w:rFonts w:hint="eastAsia" w:ascii="宋体" w:hAnsi="宋体" w:eastAsia="宋体" w:cs="宋体"/>
                <w:color w:val="auto"/>
                <w:kern w:val="0"/>
                <w:sz w:val="21"/>
                <w:szCs w:val="21"/>
                <w:highlight w:val="none"/>
                <w:lang w:bidi="ar"/>
              </w:rPr>
              <w:t>与垃圾桶</w:t>
            </w:r>
            <w:r>
              <w:rPr>
                <w:rFonts w:hint="eastAsia" w:ascii="宋体" w:hAnsi="宋体" w:eastAsia="宋体" w:cs="宋体"/>
                <w:color w:val="auto"/>
                <w:kern w:val="2"/>
                <w:sz w:val="21"/>
                <w:szCs w:val="21"/>
                <w:highlight w:val="none"/>
                <w:lang w:bidi="ar"/>
              </w:rPr>
              <w:t>应</w:t>
            </w:r>
            <w:r>
              <w:rPr>
                <w:rFonts w:hint="eastAsia" w:ascii="宋体" w:hAnsi="宋体" w:eastAsia="宋体" w:cs="宋体"/>
                <w:color w:val="auto"/>
                <w:kern w:val="0"/>
                <w:sz w:val="21"/>
                <w:szCs w:val="21"/>
                <w:highlight w:val="none"/>
                <w:lang w:bidi="ar"/>
              </w:rPr>
              <w:t>按生活垃圾分类要求设置、摆放整齐，</w:t>
            </w:r>
            <w:r>
              <w:rPr>
                <w:rFonts w:hint="eastAsia" w:ascii="宋体" w:hAnsi="宋体" w:eastAsia="宋体" w:cs="宋体"/>
                <w:color w:val="auto"/>
                <w:kern w:val="2"/>
                <w:sz w:val="21"/>
                <w:szCs w:val="21"/>
                <w:highlight w:val="none"/>
                <w:lang w:bidi="ar"/>
              </w:rPr>
              <w:t>随时保持正常完好状态，</w:t>
            </w:r>
            <w:r>
              <w:rPr>
                <w:rFonts w:hint="eastAsia" w:ascii="宋体" w:hAnsi="宋体" w:eastAsia="宋体" w:cs="宋体"/>
                <w:color w:val="auto"/>
                <w:kern w:val="0"/>
                <w:sz w:val="21"/>
                <w:szCs w:val="21"/>
                <w:highlight w:val="none"/>
                <w:lang w:bidi="ar"/>
              </w:rPr>
              <w:t>有破损、油漆剥落等影响市容未及时上报的，每次（处）扣减0.5分。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4"/>
                <w:highlight w:val="none"/>
              </w:rPr>
              <w:t>3、</w:t>
            </w:r>
            <w:r>
              <w:rPr>
                <w:rFonts w:hint="eastAsia" w:ascii="宋体" w:hAnsi="宋体" w:eastAsia="宋体" w:cs="宋体"/>
                <w:color w:val="auto"/>
                <w:kern w:val="2"/>
                <w:sz w:val="21"/>
                <w:szCs w:val="21"/>
                <w:highlight w:val="none"/>
                <w:lang w:bidi="ar"/>
              </w:rPr>
              <w:t>周围地面无污物、无抛散、存留垃圾。未达到的</w:t>
            </w:r>
            <w:r>
              <w:rPr>
                <w:rFonts w:hint="eastAsia" w:ascii="宋体" w:hAnsi="宋体" w:eastAsia="宋体" w:cs="宋体"/>
                <w:color w:val="auto"/>
                <w:kern w:val="0"/>
                <w:sz w:val="21"/>
                <w:szCs w:val="21"/>
                <w:highlight w:val="none"/>
                <w:lang w:bidi="ar"/>
              </w:rPr>
              <w:t>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restart"/>
            <w:noWrap w:val="0"/>
            <w:vAlign w:val="center"/>
          </w:tcPr>
          <w:p>
            <w:pPr>
              <w:widowControl/>
              <w:adjustRightInd/>
              <w:snapToGrid/>
              <w:spacing w:after="0" w:line="380" w:lineRule="exac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bidi="ar"/>
              </w:rPr>
              <w:t>（四）</w:t>
            </w:r>
          </w:p>
          <w:p>
            <w:pPr>
              <w:widowControl w:val="0"/>
              <w:adjustRightInd/>
              <w:snapToGrid/>
              <w:spacing w:after="0"/>
              <w:jc w:val="center"/>
              <w:rPr>
                <w:rFonts w:hint="eastAsia" w:ascii="宋体" w:hAnsi="宋体" w:eastAsia="宋体" w:cs="宋体"/>
                <w:color w:val="auto"/>
                <w:kern w:val="2"/>
                <w:sz w:val="21"/>
                <w:szCs w:val="24"/>
                <w:highlight w:val="none"/>
              </w:rPr>
            </w:pPr>
            <w:r>
              <w:rPr>
                <w:rFonts w:hint="eastAsia" w:ascii="宋体" w:hAnsi="宋体" w:eastAsia="宋体" w:cs="宋体"/>
                <w:color w:val="auto"/>
                <w:kern w:val="0"/>
                <w:sz w:val="21"/>
                <w:szCs w:val="21"/>
                <w:highlight w:val="none"/>
                <w:lang w:bidi="ar"/>
              </w:rPr>
              <w:t>垃圾收集</w:t>
            </w: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1、垃圾分类收集后必须运到采购人指定辖区内的垃圾收集站（点）投入相应垃圾容器装好，或由相应收运车辆落实无缝接运，不得擅自设点及裸露堆放</w:t>
            </w:r>
            <w:r>
              <w:rPr>
                <w:rFonts w:hint="eastAsia" w:ascii="宋体" w:hAnsi="宋体" w:eastAsia="宋体" w:cs="宋体"/>
                <w:color w:val="auto"/>
                <w:kern w:val="0"/>
                <w:sz w:val="21"/>
                <w:szCs w:val="21"/>
                <w:highlight w:val="none"/>
                <w:lang w:bidi="ar"/>
              </w:rPr>
              <w:t>，未能达到的每次（处）扣减0.5分。</w:t>
            </w:r>
          </w:p>
        </w:tc>
        <w:tc>
          <w:tcPr>
            <w:tcW w:w="427" w:type="pct"/>
            <w:vMerge w:val="restart"/>
            <w:noWrap w:val="0"/>
            <w:vAlign w:val="center"/>
          </w:tcPr>
          <w:p>
            <w:pPr>
              <w:widowControl w:val="0"/>
              <w:adjustRightInd/>
              <w:snapToGrid/>
              <w:spacing w:after="0"/>
              <w:jc w:val="center"/>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15</w:t>
            </w: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2、生活垃圾必须日产日清，对采购人辖区范围内的大件垃圾、绿化垃圾（市政管养部分除外）、零星装修和建筑垃圾等要</w:t>
            </w:r>
            <w:r>
              <w:rPr>
                <w:rFonts w:hint="eastAsia" w:ascii="宋体" w:hAnsi="宋体" w:eastAsia="宋体" w:cs="宋体"/>
                <w:color w:val="auto"/>
                <w:kern w:val="2"/>
                <w:sz w:val="21"/>
                <w:szCs w:val="21"/>
                <w:highlight w:val="none"/>
                <w:lang w:val="en-US" w:eastAsia="zh-CN" w:bidi="ar"/>
              </w:rPr>
              <w:t>及时清理，并运输到采购方指定的存放点。</w:t>
            </w:r>
            <w:r>
              <w:rPr>
                <w:rFonts w:hint="eastAsia" w:ascii="宋体" w:hAnsi="宋体" w:eastAsia="宋体" w:cs="宋体"/>
                <w:color w:val="auto"/>
                <w:kern w:val="2"/>
                <w:sz w:val="21"/>
                <w:szCs w:val="21"/>
                <w:highlight w:val="none"/>
                <w:lang w:bidi="ar"/>
              </w:rPr>
              <w:t>不得私自焚烧和偷倒垃圾，</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3、装载垃圾时打开排污水阀，离站前需检查污水阀是否关闭复位，并保证垃圾箱体密封，除密闭运输车辆外的收集车辆须按要求加网防止垃圾洒漏污染道路，对漏洒垃圾、污染道路现象必须清理干净</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val="en-US" w:eastAsia="zh-CN" w:bidi="ar"/>
              </w:rPr>
              <w:t>4</w:t>
            </w:r>
            <w:r>
              <w:rPr>
                <w:rFonts w:hint="eastAsia" w:ascii="宋体" w:hAnsi="宋体" w:eastAsia="宋体" w:cs="宋体"/>
                <w:color w:val="auto"/>
                <w:kern w:val="2"/>
                <w:sz w:val="21"/>
                <w:szCs w:val="21"/>
                <w:highlight w:val="none"/>
                <w:lang w:bidi="ar"/>
              </w:rPr>
              <w:t>、保洁产生的垃圾要及时由收集车无缝接运，确保保洁的质量与效率，不得擅自设点，不得裸露堆放</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val="en-US" w:eastAsia="zh-CN" w:bidi="ar"/>
              </w:rPr>
              <w:t>5</w:t>
            </w:r>
            <w:r>
              <w:rPr>
                <w:rFonts w:hint="eastAsia" w:ascii="宋体" w:hAnsi="宋体" w:eastAsia="宋体" w:cs="宋体"/>
                <w:color w:val="auto"/>
                <w:kern w:val="2"/>
                <w:sz w:val="21"/>
                <w:szCs w:val="21"/>
                <w:highlight w:val="none"/>
                <w:lang w:bidi="ar"/>
              </w:rPr>
              <w:t>、随车配备清扫工具，垃圾收集后必须把收集点（含垃圾屋、垃圾房）清扫或冲洗干净</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val="en-US" w:eastAsia="zh-CN" w:bidi="ar"/>
              </w:rPr>
              <w:t>6</w:t>
            </w:r>
            <w:r>
              <w:rPr>
                <w:rFonts w:hint="eastAsia" w:ascii="宋体" w:hAnsi="宋体" w:eastAsia="宋体" w:cs="宋体"/>
                <w:color w:val="auto"/>
                <w:kern w:val="2"/>
                <w:sz w:val="21"/>
                <w:szCs w:val="21"/>
                <w:highlight w:val="none"/>
                <w:lang w:bidi="ar"/>
              </w:rPr>
              <w:t>、垃圾收集点垃圾收集及时，不得积累堆放。若遇车辆维修等特殊情况未能完成垃圾收集，要上报和完成车辆调配，并在1小时内完成垃圾收集</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val="en-US" w:eastAsia="zh-CN" w:bidi="ar"/>
              </w:rPr>
              <w:t>7</w:t>
            </w:r>
            <w:r>
              <w:rPr>
                <w:rFonts w:hint="eastAsia" w:ascii="宋体" w:hAnsi="宋体" w:eastAsia="宋体" w:cs="宋体"/>
                <w:color w:val="auto"/>
                <w:kern w:val="2"/>
                <w:sz w:val="21"/>
                <w:szCs w:val="21"/>
                <w:highlight w:val="none"/>
                <w:lang w:bidi="ar"/>
              </w:rPr>
              <w:t>、非机动垃圾收集车全面实现密闭化，运输过程中无垃圾扬、撒、拖挂和污水滴漏</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val="en-US" w:eastAsia="zh-CN" w:bidi="ar"/>
              </w:rPr>
              <w:t>8</w:t>
            </w:r>
            <w:r>
              <w:rPr>
                <w:rFonts w:hint="eastAsia" w:ascii="宋体" w:hAnsi="宋体" w:eastAsia="宋体" w:cs="宋体"/>
                <w:color w:val="auto"/>
                <w:kern w:val="2"/>
                <w:sz w:val="21"/>
                <w:szCs w:val="21"/>
                <w:highlight w:val="none"/>
                <w:lang w:bidi="ar"/>
              </w:rPr>
              <w:t>、不能有其它影响环境卫生、市容市貌的现象存在</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763" w:type="pct"/>
            <w:vMerge w:val="restart"/>
            <w:noWrap w:val="0"/>
            <w:vAlign w:val="center"/>
          </w:tcPr>
          <w:p>
            <w:pPr>
              <w:widowControl/>
              <w:adjustRightInd/>
              <w:snapToGrid/>
              <w:spacing w:after="0" w:line="380" w:lineRule="exact"/>
              <w:jc w:val="center"/>
              <w:rPr>
                <w:rFonts w:hint="eastAsia" w:ascii="宋体" w:hAnsi="宋体" w:eastAsia="宋体" w:cs="宋体"/>
                <w:color w:val="auto"/>
                <w:kern w:val="0"/>
                <w:sz w:val="21"/>
                <w:szCs w:val="21"/>
                <w:highlight w:val="none"/>
                <w:lang w:bidi="ar"/>
              </w:rPr>
            </w:pPr>
          </w:p>
          <w:p>
            <w:pPr>
              <w:widowControl/>
              <w:adjustRightInd/>
              <w:snapToGrid/>
              <w:spacing w:after="0" w:line="380" w:lineRule="exact"/>
              <w:ind w:firstLine="210" w:firstLineChars="1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bidi="ar"/>
              </w:rPr>
              <w:t>（五）</w:t>
            </w:r>
          </w:p>
          <w:p>
            <w:pPr>
              <w:widowControl w:val="0"/>
              <w:adjustRightInd/>
              <w:snapToGrid/>
              <w:spacing w:after="0"/>
              <w:jc w:val="center"/>
              <w:rPr>
                <w:rFonts w:hint="eastAsia" w:ascii="宋体" w:hAnsi="宋体" w:eastAsia="宋体" w:cs="宋体"/>
                <w:color w:val="auto"/>
                <w:kern w:val="2"/>
                <w:sz w:val="21"/>
                <w:szCs w:val="24"/>
                <w:highlight w:val="none"/>
              </w:rPr>
            </w:pPr>
            <w:r>
              <w:rPr>
                <w:rFonts w:hint="eastAsia" w:ascii="宋体" w:hAnsi="宋体" w:eastAsia="宋体" w:cs="宋体"/>
                <w:color w:val="auto"/>
                <w:kern w:val="0"/>
                <w:sz w:val="21"/>
                <w:szCs w:val="21"/>
                <w:highlight w:val="none"/>
                <w:lang w:bidi="ar"/>
              </w:rPr>
              <w:t>工具房（点）、取水点、环卫停车场、城市驿站管理</w:t>
            </w:r>
          </w:p>
        </w:tc>
        <w:tc>
          <w:tcPr>
            <w:tcW w:w="3418" w:type="pct"/>
            <w:noWrap w:val="0"/>
            <w:vAlign w:val="center"/>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1、工具房整体环境卫生整洁、干净，无积水，并加上门锁</w:t>
            </w:r>
            <w:r>
              <w:rPr>
                <w:rFonts w:hint="eastAsia" w:ascii="宋体" w:hAnsi="宋体" w:eastAsia="宋体" w:cs="宋体"/>
                <w:color w:val="auto"/>
                <w:kern w:val="0"/>
                <w:sz w:val="21"/>
                <w:szCs w:val="21"/>
                <w:highlight w:val="none"/>
                <w:lang w:bidi="ar"/>
              </w:rPr>
              <w:t>，</w:t>
            </w:r>
            <w:r>
              <w:rPr>
                <w:rFonts w:hint="eastAsia" w:ascii="宋体" w:hAnsi="宋体" w:eastAsia="宋体" w:cs="宋体"/>
                <w:color w:val="auto"/>
                <w:kern w:val="2"/>
                <w:sz w:val="21"/>
                <w:szCs w:val="21"/>
                <w:highlight w:val="none"/>
                <w:lang w:bidi="ar"/>
              </w:rPr>
              <w:t>劳动作业工具摆放整齐、有序，不得存放非生产性用品、危险化学品，</w:t>
            </w:r>
            <w:r>
              <w:rPr>
                <w:rFonts w:hint="eastAsia" w:ascii="宋体" w:hAnsi="宋体" w:eastAsia="宋体" w:cs="宋体"/>
                <w:color w:val="auto"/>
                <w:kern w:val="0"/>
                <w:sz w:val="21"/>
                <w:szCs w:val="21"/>
                <w:highlight w:val="none"/>
                <w:lang w:bidi="ar"/>
              </w:rPr>
              <w:t>未能达到的每次（处）扣减0.5分。</w:t>
            </w:r>
          </w:p>
        </w:tc>
        <w:tc>
          <w:tcPr>
            <w:tcW w:w="427" w:type="pct"/>
            <w:vMerge w:val="restart"/>
            <w:noWrap w:val="0"/>
            <w:vAlign w:val="center"/>
          </w:tcPr>
          <w:p>
            <w:pPr>
              <w:widowControl w:val="0"/>
              <w:adjustRightInd/>
              <w:snapToGrid/>
              <w:spacing w:after="0"/>
              <w:jc w:val="center"/>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5</w:t>
            </w: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center"/>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2、取水点损坏要及时维修，定期全面翻新，做好反光标识；取水时车辆要熄火，文明有序进行取水，减少人为噪音；水阀使用后关紧上锁</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center"/>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3、工人的车辆不得乱停乱放</w:t>
            </w:r>
            <w:r>
              <w:rPr>
                <w:rFonts w:hint="eastAsia" w:ascii="宋体" w:hAnsi="宋体" w:eastAsia="宋体" w:cs="宋体"/>
                <w:color w:val="auto"/>
                <w:kern w:val="0"/>
                <w:sz w:val="21"/>
                <w:szCs w:val="21"/>
                <w:highlight w:val="none"/>
                <w:lang w:bidi="ar"/>
              </w:rPr>
              <w:t>，工作结束后有序停放在环卫停车场内，未能达到的每次（处）扣减0.5分。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center"/>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4、要按安全规范使用用电设施</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center"/>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5、工具房要配备性能良好的灭火器</w:t>
            </w:r>
            <w:r>
              <w:rPr>
                <w:rFonts w:hint="eastAsia" w:ascii="宋体" w:hAnsi="宋体" w:eastAsia="宋体" w:cs="宋体"/>
                <w:color w:val="auto"/>
                <w:kern w:val="0"/>
                <w:sz w:val="21"/>
                <w:szCs w:val="21"/>
                <w:highlight w:val="none"/>
                <w:lang w:bidi="ar"/>
              </w:rPr>
              <w:t>，</w:t>
            </w:r>
            <w:r>
              <w:rPr>
                <w:rFonts w:hint="eastAsia" w:ascii="宋体" w:hAnsi="宋体" w:eastAsia="宋体" w:cs="宋体"/>
                <w:color w:val="auto"/>
                <w:kern w:val="2"/>
                <w:sz w:val="21"/>
                <w:szCs w:val="21"/>
                <w:highlight w:val="none"/>
                <w:lang w:bidi="ar"/>
              </w:rPr>
              <w:t>要定期进行检查并做好记录，</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8、不能有其它影响环境卫生、市容市貌的现象存在</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restart"/>
            <w:noWrap w:val="0"/>
            <w:vAlign w:val="center"/>
          </w:tcPr>
          <w:p>
            <w:pPr>
              <w:widowControl/>
              <w:adjustRightInd/>
              <w:snapToGrid/>
              <w:spacing w:after="0" w:line="380" w:lineRule="exac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bidi="ar"/>
              </w:rPr>
              <w:t>（六）</w:t>
            </w:r>
          </w:p>
          <w:p>
            <w:pPr>
              <w:widowControl w:val="0"/>
              <w:adjustRightInd/>
              <w:snapToGrid/>
              <w:spacing w:after="0"/>
              <w:jc w:val="center"/>
              <w:rPr>
                <w:rFonts w:hint="eastAsia" w:ascii="宋体" w:hAnsi="宋体" w:eastAsia="宋体" w:cs="宋体"/>
                <w:color w:val="auto"/>
                <w:kern w:val="2"/>
                <w:sz w:val="21"/>
                <w:szCs w:val="24"/>
                <w:highlight w:val="none"/>
              </w:rPr>
            </w:pPr>
            <w:r>
              <w:rPr>
                <w:rFonts w:hint="eastAsia" w:ascii="宋体" w:hAnsi="宋体" w:eastAsia="宋体" w:cs="宋体"/>
                <w:color w:val="auto"/>
                <w:kern w:val="0"/>
                <w:sz w:val="21"/>
                <w:szCs w:val="21"/>
                <w:highlight w:val="none"/>
                <w:lang w:bidi="ar"/>
              </w:rPr>
              <w:t>乱张贴、乱涂画清理</w:t>
            </w: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1、及时清理服务范围内的乱张贴和乱涂画等“牛皮癣”，包括但不限于沿街建筑物墙体和设施（含企事业单位、商铺门面卷闸），以及上述范围内路名牌、指路牌、交通护栏、交通站牌、路灯杆、交通指示牌等公用设施（含路面）</w:t>
            </w:r>
            <w:r>
              <w:rPr>
                <w:rFonts w:hint="eastAsia" w:ascii="宋体" w:hAnsi="宋体" w:eastAsia="宋体" w:cs="宋体"/>
                <w:color w:val="auto"/>
                <w:kern w:val="0"/>
                <w:sz w:val="21"/>
                <w:szCs w:val="21"/>
                <w:highlight w:val="none"/>
                <w:lang w:bidi="ar"/>
              </w:rPr>
              <w:t>，未能达到的每次（处）扣减0.3分。</w:t>
            </w:r>
          </w:p>
        </w:tc>
        <w:tc>
          <w:tcPr>
            <w:tcW w:w="427" w:type="pct"/>
            <w:vMerge w:val="restart"/>
            <w:noWrap w:val="0"/>
            <w:vAlign w:val="center"/>
          </w:tcPr>
          <w:p>
            <w:pPr>
              <w:widowControl w:val="0"/>
              <w:adjustRightInd/>
              <w:snapToGrid/>
              <w:spacing w:after="0"/>
              <w:jc w:val="center"/>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8</w:t>
            </w: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1"/>
                <w:highlight w:val="none"/>
                <w:lang w:bidi="ar"/>
              </w:rPr>
              <w:t>2、不能有其它影响环境卫生、市容市貌的“牛皮癣”现象存在</w:t>
            </w:r>
            <w:r>
              <w:rPr>
                <w:rFonts w:hint="eastAsia" w:ascii="宋体" w:hAnsi="宋体" w:eastAsia="宋体" w:cs="宋体"/>
                <w:color w:val="auto"/>
                <w:kern w:val="0"/>
                <w:sz w:val="21"/>
                <w:szCs w:val="21"/>
                <w:highlight w:val="none"/>
                <w:lang w:bidi="ar"/>
              </w:rPr>
              <w:t>，未能达到的每次（处）扣减0.3分。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restart"/>
            <w:noWrap w:val="0"/>
            <w:vAlign w:val="center"/>
          </w:tcPr>
          <w:p>
            <w:pPr>
              <w:widowControl/>
              <w:adjustRightInd/>
              <w:snapToGrid/>
              <w:spacing w:after="0" w:line="380" w:lineRule="exac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bidi="ar"/>
              </w:rPr>
              <w:t>（七）</w:t>
            </w:r>
          </w:p>
          <w:p>
            <w:pPr>
              <w:widowControl w:val="0"/>
              <w:adjustRightInd/>
              <w:snapToGrid/>
              <w:spacing w:after="0"/>
              <w:jc w:val="center"/>
              <w:rPr>
                <w:rFonts w:hint="eastAsia" w:ascii="宋体" w:hAnsi="宋体" w:eastAsia="宋体" w:cs="宋体"/>
                <w:color w:val="auto"/>
                <w:kern w:val="2"/>
                <w:sz w:val="21"/>
                <w:szCs w:val="24"/>
                <w:highlight w:val="none"/>
              </w:rPr>
            </w:pPr>
            <w:r>
              <w:rPr>
                <w:rFonts w:hint="eastAsia" w:ascii="宋体" w:hAnsi="宋体" w:eastAsia="宋体" w:cs="宋体"/>
                <w:color w:val="auto"/>
                <w:kern w:val="0"/>
                <w:sz w:val="21"/>
                <w:szCs w:val="21"/>
                <w:highlight w:val="none"/>
                <w:lang w:bidi="ar"/>
              </w:rPr>
              <w:t>安全生产</w:t>
            </w: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1、所有作业人员做好岗前培训，定期进行员工安全生产教育培训，制定各类应急预案，落实责任制，落实有关安全措施，未能达到的每次</w:t>
            </w:r>
            <w:r>
              <w:rPr>
                <w:rFonts w:hint="eastAsia" w:ascii="宋体" w:hAnsi="宋体" w:eastAsia="宋体" w:cs="宋体"/>
                <w:color w:val="auto"/>
                <w:kern w:val="0"/>
                <w:sz w:val="21"/>
                <w:szCs w:val="21"/>
                <w:highlight w:val="none"/>
                <w:lang w:bidi="ar"/>
              </w:rPr>
              <w:t>扣减1分。</w:t>
            </w:r>
          </w:p>
        </w:tc>
        <w:tc>
          <w:tcPr>
            <w:tcW w:w="427" w:type="pct"/>
            <w:vMerge w:val="restart"/>
            <w:noWrap w:val="0"/>
            <w:vAlign w:val="center"/>
          </w:tcPr>
          <w:p>
            <w:pPr>
              <w:widowControl w:val="0"/>
              <w:adjustRightInd/>
              <w:snapToGrid/>
              <w:spacing w:after="0"/>
              <w:jc w:val="center"/>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7</w:t>
            </w: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adjustRightInd/>
              <w:snapToGrid/>
              <w:spacing w:after="0" w:line="380" w:lineRule="exact"/>
              <w:jc w:val="center"/>
              <w:rPr>
                <w:rFonts w:hint="eastAsia" w:ascii="宋体" w:hAnsi="宋体" w:eastAsia="宋体" w:cs="宋体"/>
                <w:color w:val="auto"/>
                <w:kern w:val="0"/>
                <w:sz w:val="21"/>
                <w:szCs w:val="21"/>
                <w:highlight w:val="none"/>
                <w:lang w:bidi="ar"/>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2、作业人员必须按采购人要求统一穿着带反光标识和中标人公司标志的全套工作服</w:t>
            </w:r>
            <w:r>
              <w:rPr>
                <w:rFonts w:hint="eastAsia" w:ascii="宋体" w:hAnsi="宋体" w:eastAsia="宋体" w:cs="宋体"/>
                <w:color w:val="auto"/>
                <w:kern w:val="0"/>
                <w:sz w:val="21"/>
                <w:szCs w:val="21"/>
                <w:highlight w:val="none"/>
                <w:lang w:bidi="ar"/>
              </w:rPr>
              <w:t>，着装整齐；</w:t>
            </w:r>
            <w:r>
              <w:rPr>
                <w:rFonts w:hint="eastAsia" w:ascii="宋体" w:hAnsi="宋体" w:eastAsia="宋体" w:cs="宋体"/>
                <w:color w:val="auto"/>
                <w:kern w:val="2"/>
                <w:sz w:val="21"/>
                <w:szCs w:val="21"/>
                <w:highlight w:val="none"/>
                <w:lang w:bidi="ar"/>
              </w:rPr>
              <w:t>作业期间必须落实警示标志及防护措施，按规范作业</w:t>
            </w:r>
            <w:r>
              <w:rPr>
                <w:rFonts w:hint="eastAsia" w:ascii="宋体" w:hAnsi="宋体" w:eastAsia="宋体" w:cs="宋体"/>
                <w:color w:val="auto"/>
                <w:kern w:val="0"/>
                <w:sz w:val="21"/>
                <w:szCs w:val="21"/>
                <w:highlight w:val="none"/>
                <w:lang w:bidi="ar"/>
              </w:rPr>
              <w:t>，</w:t>
            </w:r>
            <w:r>
              <w:rPr>
                <w:rFonts w:hint="eastAsia" w:ascii="宋体" w:hAnsi="宋体" w:eastAsia="宋体" w:cs="宋体"/>
                <w:color w:val="auto"/>
                <w:kern w:val="2"/>
                <w:sz w:val="21"/>
                <w:szCs w:val="21"/>
                <w:highlight w:val="none"/>
                <w:lang w:bidi="ar"/>
              </w:rPr>
              <w:t>不得超线路负载使用电器，禁止吸烟或存在明火，落实防火措施，配足性能良好的消防器材</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adjustRightInd/>
              <w:snapToGrid/>
              <w:spacing w:after="0" w:line="380" w:lineRule="exact"/>
              <w:jc w:val="center"/>
              <w:rPr>
                <w:rFonts w:hint="eastAsia" w:ascii="宋体" w:hAnsi="宋体" w:eastAsia="宋体" w:cs="宋体"/>
                <w:color w:val="auto"/>
                <w:kern w:val="0"/>
                <w:sz w:val="21"/>
                <w:szCs w:val="21"/>
                <w:highlight w:val="none"/>
                <w:lang w:bidi="ar"/>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3、做好作业车辆年审、购买保险、行车（船）记录等相关工作，完善车辆档案；必须密切掌握作业车辆的性能状况，及时维修，杜绝事故隐患；作业车辆行驶必须严格遵守交通规则，驾驶人员必须持证上岗。车辆作业过程中，作业人员要按作业规范做好安全措施和引导工作，车辆按作业要求时速行驶，</w:t>
            </w:r>
            <w:r>
              <w:rPr>
                <w:rFonts w:hint="eastAsia" w:ascii="宋体" w:hAnsi="宋体" w:eastAsia="宋体" w:cs="宋体"/>
                <w:color w:val="auto"/>
                <w:kern w:val="0"/>
                <w:sz w:val="21"/>
                <w:szCs w:val="21"/>
                <w:highlight w:val="none"/>
                <w:lang w:bidi="ar"/>
              </w:rPr>
              <w:t>未能达到的每次（处）扣减0.5分。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adjustRightInd/>
              <w:snapToGrid/>
              <w:spacing w:after="0" w:line="380" w:lineRule="exact"/>
              <w:jc w:val="center"/>
              <w:rPr>
                <w:rFonts w:hint="eastAsia" w:ascii="宋体" w:hAnsi="宋体" w:eastAsia="宋体" w:cs="宋体"/>
                <w:color w:val="auto"/>
                <w:kern w:val="0"/>
                <w:sz w:val="21"/>
                <w:szCs w:val="21"/>
                <w:highlight w:val="none"/>
                <w:lang w:bidi="ar"/>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4、发生安全生产事故、交通事故、其它意外事故的，要及时如实上报</w:t>
            </w:r>
            <w:r>
              <w:rPr>
                <w:rFonts w:hint="eastAsia" w:ascii="宋体" w:hAnsi="宋体" w:eastAsia="宋体" w:cs="宋体"/>
                <w:color w:val="auto"/>
                <w:kern w:val="0"/>
                <w:sz w:val="21"/>
                <w:szCs w:val="21"/>
                <w:highlight w:val="none"/>
                <w:lang w:bidi="ar"/>
              </w:rPr>
              <w:t>，未能达到的每次（处）扣减1分。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763" w:type="pct"/>
            <w:vMerge w:val="continue"/>
            <w:noWrap w:val="0"/>
            <w:vAlign w:val="top"/>
          </w:tcPr>
          <w:p>
            <w:pPr>
              <w:widowControl/>
              <w:adjustRightInd/>
              <w:snapToGrid/>
              <w:spacing w:after="0" w:line="380" w:lineRule="exact"/>
              <w:jc w:val="center"/>
              <w:rPr>
                <w:rFonts w:hint="eastAsia" w:ascii="宋体" w:hAnsi="宋体" w:eastAsia="宋体" w:cs="宋体"/>
                <w:color w:val="auto"/>
                <w:kern w:val="0"/>
                <w:sz w:val="21"/>
                <w:szCs w:val="21"/>
                <w:highlight w:val="none"/>
                <w:lang w:bidi="ar"/>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5、配置专门安全生产专职人员每天做好安全生产监督巡查工作，作业人员要文明作业，出现不文明行为的每次扣减1分</w:t>
            </w:r>
            <w:r>
              <w:rPr>
                <w:rFonts w:hint="eastAsia" w:ascii="宋体" w:hAnsi="宋体" w:eastAsia="宋体" w:cs="宋体"/>
                <w:color w:val="auto"/>
                <w:kern w:val="0"/>
                <w:sz w:val="21"/>
                <w:szCs w:val="21"/>
                <w:highlight w:val="none"/>
                <w:lang w:bidi="ar"/>
              </w:rPr>
              <w:t>。</w:t>
            </w:r>
            <w:r>
              <w:rPr>
                <w:rFonts w:hint="eastAsia" w:ascii="宋体" w:hAnsi="宋体" w:eastAsia="宋体" w:cs="宋体"/>
                <w:color w:val="auto"/>
                <w:kern w:val="2"/>
                <w:sz w:val="21"/>
                <w:szCs w:val="21"/>
                <w:highlight w:val="none"/>
                <w:lang w:bidi="ar"/>
              </w:rPr>
              <w:t xml:space="preserve">发生生产事故，造成负面影响的，根据情节严重程度，扣减2-10分。 </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63" w:type="pct"/>
            <w:vMerge w:val="restart"/>
            <w:noWrap w:val="0"/>
            <w:vAlign w:val="top"/>
          </w:tcPr>
          <w:p>
            <w:pPr>
              <w:widowControl/>
              <w:adjustRightInd/>
              <w:snapToGrid/>
              <w:spacing w:after="0" w:line="38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(八)</w:t>
            </w:r>
          </w:p>
          <w:p>
            <w:pPr>
              <w:widowControl/>
              <w:adjustRightInd/>
              <w:snapToGrid/>
              <w:spacing w:after="0" w:line="38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人员及设备投入要求</w:t>
            </w: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val="en-US" w:eastAsia="zh-CN" w:bidi="ar"/>
              </w:rPr>
              <w:t>1.中标人未按采购人或合同所承诺的要求投入足量服务人员进行清扫的，每次每缺一人扣1分，</w:t>
            </w:r>
            <w:r>
              <w:rPr>
                <w:rFonts w:hint="eastAsia" w:ascii="宋体" w:hAnsi="宋体" w:eastAsia="宋体" w:cs="宋体"/>
                <w:color w:val="auto"/>
                <w:kern w:val="2"/>
                <w:sz w:val="21"/>
                <w:szCs w:val="21"/>
                <w:highlight w:val="none"/>
                <w:lang w:val="en-US" w:eastAsia="zh-CN"/>
              </w:rPr>
              <w:t>人员在职期间，男不得超过60周岁，女不得超过55周岁，每超龄一人扣1分。</w:t>
            </w:r>
            <w:r>
              <w:rPr>
                <w:rFonts w:hint="eastAsia" w:ascii="宋体" w:hAnsi="宋体" w:eastAsia="宋体" w:cs="宋体"/>
                <w:color w:val="auto"/>
                <w:kern w:val="2"/>
                <w:sz w:val="21"/>
                <w:szCs w:val="21"/>
                <w:highlight w:val="none"/>
                <w:lang w:val="en-US" w:eastAsia="zh-CN" w:bidi="ar"/>
              </w:rPr>
              <w:t>同时每次检查每缺一人扣款3000元整。（罚款单独计算，与考核扣分罚款叠加。）</w:t>
            </w:r>
          </w:p>
        </w:tc>
        <w:tc>
          <w:tcPr>
            <w:tcW w:w="427" w:type="pct"/>
            <w:vMerge w:val="restart"/>
            <w:noWrap w:val="0"/>
            <w:vAlign w:val="center"/>
          </w:tcPr>
          <w:p>
            <w:pPr>
              <w:widowControl w:val="0"/>
              <w:adjustRightInd/>
              <w:snapToGrid/>
              <w:spacing w:after="0"/>
              <w:jc w:val="center"/>
              <w:rPr>
                <w:rFonts w:hint="eastAsia" w:ascii="宋体" w:hAnsi="宋体" w:eastAsia="宋体" w:cs="宋体"/>
                <w:color w:val="auto"/>
                <w:kern w:val="2"/>
                <w:sz w:val="21"/>
                <w:szCs w:val="24"/>
                <w:highlight w:val="none"/>
                <w:lang w:val="en-US" w:eastAsia="zh-CN"/>
              </w:rPr>
            </w:pPr>
            <w:r>
              <w:rPr>
                <w:rFonts w:hint="eastAsia" w:ascii="宋体" w:hAnsi="宋体" w:eastAsia="宋体" w:cs="宋体"/>
                <w:color w:val="auto"/>
                <w:kern w:val="2"/>
                <w:sz w:val="21"/>
                <w:szCs w:val="24"/>
                <w:highlight w:val="none"/>
                <w:lang w:val="en-US" w:eastAsia="zh-CN"/>
              </w:rPr>
              <w:t>5</w:t>
            </w:r>
          </w:p>
        </w:tc>
        <w:tc>
          <w:tcPr>
            <w:tcW w:w="390" w:type="pct"/>
            <w:vMerge w:val="restar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63" w:type="pct"/>
            <w:vMerge w:val="continue"/>
            <w:noWrap w:val="0"/>
            <w:vAlign w:val="top"/>
          </w:tcPr>
          <w:p>
            <w:pPr>
              <w:widowControl w:val="0"/>
              <w:adjustRightInd/>
              <w:snapToGrid/>
              <w:spacing w:after="0"/>
              <w:jc w:val="both"/>
              <w:rPr>
                <w:rFonts w:ascii="Calibri" w:hAnsi="Calibri" w:eastAsia="宋体" w:cs="Times New Roman"/>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val="en-US" w:eastAsia="zh-CN" w:bidi="ar"/>
              </w:rPr>
              <w:t>2.中标人未按采购人或合同所承诺的要求投入足量的设备进行环卫清扫的，每次每缺一台设备扣1分，同时每次检查每缺一台设备扣款10000元整。（罚款单独计算，与考核扣分罚款叠加。）</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p>
        </w:tc>
        <w:tc>
          <w:tcPr>
            <w:tcW w:w="390"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restart"/>
            <w:noWrap w:val="0"/>
            <w:vAlign w:val="center"/>
          </w:tcPr>
          <w:p>
            <w:pPr>
              <w:widowControl/>
              <w:adjustRightInd/>
              <w:snapToGrid/>
              <w:spacing w:after="0" w:line="380" w:lineRule="exac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bidi="ar"/>
              </w:rPr>
              <w:t>(</w:t>
            </w:r>
            <w:r>
              <w:rPr>
                <w:rFonts w:hint="eastAsia" w:ascii="宋体" w:hAnsi="宋体" w:eastAsia="宋体" w:cs="宋体"/>
                <w:color w:val="auto"/>
                <w:kern w:val="0"/>
                <w:sz w:val="21"/>
                <w:szCs w:val="21"/>
                <w:highlight w:val="none"/>
                <w:lang w:val="en-US" w:eastAsia="zh-CN" w:bidi="ar"/>
              </w:rPr>
              <w:t>九</w:t>
            </w:r>
            <w:r>
              <w:rPr>
                <w:rFonts w:hint="eastAsia" w:ascii="宋体" w:hAnsi="宋体" w:eastAsia="宋体" w:cs="宋体"/>
                <w:color w:val="auto"/>
                <w:kern w:val="0"/>
                <w:sz w:val="21"/>
                <w:szCs w:val="21"/>
                <w:highlight w:val="none"/>
                <w:lang w:bidi="ar"/>
              </w:rPr>
              <w:t>)</w:t>
            </w:r>
          </w:p>
          <w:p>
            <w:pPr>
              <w:widowControl/>
              <w:adjustRightInd/>
              <w:snapToGrid/>
              <w:spacing w:after="0" w:line="38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特别规定</w:t>
            </w: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1、积极落实完成重要检查、大型活动、突发公共事件及采购人特派任务等的，保障工作，并有专人跟进完成程度及汇报情况，未能达到的每次（处）扣减2分；如造成负面影响的，每次（处）扣减5分</w:t>
            </w:r>
            <w:r>
              <w:rPr>
                <w:rFonts w:hint="eastAsia" w:ascii="宋体" w:hAnsi="宋体" w:eastAsia="宋体" w:cs="宋体"/>
                <w:color w:val="auto"/>
                <w:kern w:val="0"/>
                <w:sz w:val="21"/>
                <w:szCs w:val="21"/>
                <w:highlight w:val="none"/>
                <w:lang w:bidi="ar"/>
              </w:rPr>
              <w:t>。</w:t>
            </w:r>
          </w:p>
        </w:tc>
        <w:tc>
          <w:tcPr>
            <w:tcW w:w="427" w:type="pct"/>
            <w:vMerge w:val="restart"/>
            <w:noWrap w:val="0"/>
            <w:vAlign w:val="center"/>
          </w:tcPr>
          <w:p>
            <w:pPr>
              <w:widowControl w:val="0"/>
              <w:adjustRightInd/>
              <w:snapToGrid/>
              <w:spacing w:after="0"/>
              <w:jc w:val="center"/>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10</w:t>
            </w: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adjustRightInd/>
              <w:snapToGrid/>
              <w:spacing w:after="0" w:line="380" w:lineRule="exact"/>
              <w:jc w:val="center"/>
              <w:rPr>
                <w:rFonts w:hint="eastAsia" w:ascii="宋体" w:hAnsi="宋体" w:eastAsia="宋体" w:cs="宋体"/>
                <w:color w:val="auto"/>
                <w:kern w:val="0"/>
                <w:sz w:val="21"/>
                <w:szCs w:val="21"/>
                <w:highlight w:val="none"/>
                <w:lang w:bidi="ar"/>
              </w:rPr>
            </w:pPr>
          </w:p>
        </w:tc>
        <w:tc>
          <w:tcPr>
            <w:tcW w:w="3418" w:type="pct"/>
            <w:noWrap w:val="0"/>
            <w:vAlign w:val="center"/>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2、中标人必须健全作业质量管理队伍的使用、监督机制，要做到分工明确、责任到人，管理制度、管理人员分工及工作方案、每季度（年度）工作书面总结及工作计划等必须报采购人备案，未能达到的扣减3分</w:t>
            </w:r>
            <w:r>
              <w:rPr>
                <w:rFonts w:hint="eastAsia" w:ascii="宋体" w:hAnsi="宋体" w:eastAsia="宋体" w:cs="宋体"/>
                <w:color w:val="auto"/>
                <w:kern w:val="0"/>
                <w:sz w:val="21"/>
                <w:szCs w:val="21"/>
                <w:highlight w:val="none"/>
                <w:lang w:bidi="ar"/>
              </w:rPr>
              <w:t>。</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adjustRightInd/>
              <w:snapToGrid/>
              <w:spacing w:after="0" w:line="380" w:lineRule="exact"/>
              <w:jc w:val="center"/>
              <w:rPr>
                <w:rFonts w:hint="eastAsia" w:ascii="宋体" w:hAnsi="宋体" w:eastAsia="宋体" w:cs="宋体"/>
                <w:color w:val="auto"/>
                <w:kern w:val="0"/>
                <w:sz w:val="21"/>
                <w:szCs w:val="21"/>
                <w:highlight w:val="none"/>
                <w:lang w:bidi="ar"/>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3、采购人有权规定本项目及各作业片区、道（线）路、工种等的人员、设备和车辆的使用数量，中标人必须按要求及满足实际工作情况执行，未能达到的每人（台、辆）扣减3分</w:t>
            </w:r>
            <w:r>
              <w:rPr>
                <w:rFonts w:hint="eastAsia" w:ascii="宋体" w:hAnsi="宋体" w:eastAsia="宋体" w:cs="宋体"/>
                <w:color w:val="auto"/>
                <w:kern w:val="0"/>
                <w:sz w:val="21"/>
                <w:szCs w:val="21"/>
                <w:highlight w:val="none"/>
                <w:lang w:bidi="ar"/>
              </w:rPr>
              <w:t>。</w:t>
            </w:r>
            <w:r>
              <w:rPr>
                <w:rFonts w:hint="eastAsia" w:ascii="宋体" w:hAnsi="宋体" w:eastAsia="宋体" w:cs="宋体"/>
                <w:color w:val="auto"/>
                <w:kern w:val="2"/>
                <w:sz w:val="21"/>
                <w:szCs w:val="21"/>
                <w:highlight w:val="none"/>
                <w:lang w:bidi="ar"/>
              </w:rPr>
              <w:t>中标人未经采购人书面同意，不得擅自停工，不得在承包区域内擅自收取物价局规定的由采购人收取的费项或其他与采购人利益有关系的费项，</w:t>
            </w:r>
            <w:r>
              <w:rPr>
                <w:rFonts w:hint="eastAsia" w:ascii="宋体" w:hAnsi="宋体" w:eastAsia="宋体" w:cs="宋体"/>
                <w:color w:val="auto"/>
                <w:kern w:val="0"/>
                <w:sz w:val="21"/>
                <w:szCs w:val="21"/>
                <w:highlight w:val="none"/>
                <w:lang w:bidi="ar"/>
              </w:rPr>
              <w:t>违者视为越权收费行为，一经发现，每次扣减10分。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adjustRightInd/>
              <w:snapToGrid/>
              <w:spacing w:after="0" w:line="380" w:lineRule="exact"/>
              <w:jc w:val="center"/>
              <w:rPr>
                <w:rFonts w:hint="eastAsia" w:ascii="宋体" w:hAnsi="宋体" w:eastAsia="宋体" w:cs="宋体"/>
                <w:color w:val="auto"/>
                <w:kern w:val="0"/>
                <w:sz w:val="21"/>
                <w:szCs w:val="21"/>
                <w:highlight w:val="none"/>
                <w:lang w:bidi="ar"/>
              </w:rPr>
            </w:pPr>
          </w:p>
        </w:tc>
        <w:tc>
          <w:tcPr>
            <w:tcW w:w="3418" w:type="pct"/>
            <w:noWrap w:val="0"/>
            <w:vAlign w:val="center"/>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4、中标人有责任协助采购人核实工作量，采购人安排的各项工作、各类回复的案件和各类要求上报的资料要按时按质完成，不得弄虚作假，未能达到的每次扣减3分</w:t>
            </w:r>
            <w:r>
              <w:rPr>
                <w:rFonts w:hint="eastAsia" w:ascii="宋体" w:hAnsi="宋体" w:eastAsia="宋体" w:cs="宋体"/>
                <w:color w:val="auto"/>
                <w:kern w:val="0"/>
                <w:sz w:val="21"/>
                <w:szCs w:val="21"/>
                <w:highlight w:val="none"/>
                <w:lang w:bidi="ar"/>
              </w:rPr>
              <w:t>。</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center"/>
          </w:tcPr>
          <w:p>
            <w:pPr>
              <w:widowControl/>
              <w:adjustRightInd/>
              <w:snapToGrid/>
              <w:spacing w:after="0" w:line="380" w:lineRule="exact"/>
              <w:jc w:val="center"/>
              <w:rPr>
                <w:rFonts w:hint="eastAsia" w:ascii="宋体" w:hAnsi="宋体" w:eastAsia="宋体" w:cs="宋体"/>
                <w:color w:val="auto"/>
                <w:kern w:val="2"/>
                <w:sz w:val="21"/>
                <w:szCs w:val="24"/>
                <w:highlight w:val="none"/>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5、</w:t>
            </w:r>
            <w:r>
              <w:rPr>
                <w:rFonts w:hint="eastAsia" w:ascii="宋体" w:hAnsi="宋体" w:eastAsia="宋体" w:cs="宋体"/>
                <w:color w:val="auto"/>
                <w:kern w:val="2"/>
                <w:sz w:val="21"/>
                <w:szCs w:val="21"/>
                <w:highlight w:val="none"/>
                <w:lang w:bidi="ar"/>
              </w:rPr>
              <w:t>发包管理范围的公厕、道路及闲置地保洁等承包范围内在东莞市“最美”“最脏乱差”区域评选中，选上“最脏乱差”区域（村（社区）、道路、农贸市场、公厕、河涌）的，每月每次扣3分；选上“最美”区域（村（社区）、道路、农贸市场、公厕、河涌））的，每月每次加3分。</w:t>
            </w:r>
          </w:p>
        </w:tc>
        <w:tc>
          <w:tcPr>
            <w:tcW w:w="427" w:type="pct"/>
            <w:vMerge w:val="continue"/>
            <w:noWrap w:val="0"/>
            <w:vAlign w:val="center"/>
          </w:tcPr>
          <w:p>
            <w:pPr>
              <w:widowControl w:val="0"/>
              <w:adjustRightInd/>
              <w:snapToGrid/>
              <w:spacing w:after="0"/>
              <w:jc w:val="center"/>
              <w:rPr>
                <w:rFonts w:hint="eastAsia" w:ascii="宋体" w:hAnsi="宋体" w:eastAsia="宋体" w:cs="宋体"/>
                <w:color w:val="auto"/>
                <w:kern w:val="2"/>
                <w:sz w:val="21"/>
                <w:szCs w:val="24"/>
                <w:highlight w:val="none"/>
                <w:lang w:val="en-US" w:eastAsia="zh-CN"/>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restart"/>
            <w:noWrap w:val="0"/>
            <w:vAlign w:val="center"/>
          </w:tcPr>
          <w:p>
            <w:pPr>
              <w:widowControl/>
              <w:adjustRightInd/>
              <w:snapToGrid/>
              <w:spacing w:after="0" w:line="380" w:lineRule="exac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bidi="ar"/>
              </w:rPr>
              <w:t>(</w:t>
            </w:r>
            <w:r>
              <w:rPr>
                <w:rFonts w:hint="eastAsia" w:ascii="宋体" w:hAnsi="宋体" w:eastAsia="宋体" w:cs="宋体"/>
                <w:color w:val="auto"/>
                <w:kern w:val="0"/>
                <w:sz w:val="21"/>
                <w:szCs w:val="21"/>
                <w:highlight w:val="none"/>
                <w:lang w:val="en-US" w:eastAsia="zh-CN" w:bidi="ar"/>
              </w:rPr>
              <w:t>十</w:t>
            </w:r>
            <w:r>
              <w:rPr>
                <w:rFonts w:hint="eastAsia" w:ascii="宋体" w:hAnsi="宋体" w:eastAsia="宋体" w:cs="宋体"/>
                <w:color w:val="auto"/>
                <w:kern w:val="0"/>
                <w:sz w:val="21"/>
                <w:szCs w:val="21"/>
                <w:highlight w:val="none"/>
                <w:lang w:bidi="ar"/>
              </w:rPr>
              <w:t>)</w:t>
            </w:r>
          </w:p>
          <w:p>
            <w:pPr>
              <w:widowControl/>
              <w:adjustRightInd/>
              <w:snapToGrid/>
              <w:spacing w:after="0" w:line="38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2"/>
                <w:sz w:val="21"/>
                <w:szCs w:val="24"/>
                <w:highlight w:val="none"/>
              </w:rPr>
              <w:t>群众评价</w:t>
            </w: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1、被市或以上媒体批评曝光的，或者被市</w:t>
            </w:r>
            <w:r>
              <w:rPr>
                <w:rFonts w:hint="eastAsia" w:ascii="宋体" w:hAnsi="宋体" w:eastAsia="宋体" w:cs="宋体"/>
                <w:color w:val="auto"/>
                <w:kern w:val="2"/>
                <w:sz w:val="21"/>
                <w:szCs w:val="21"/>
                <w:highlight w:val="none"/>
                <w:lang w:val="en-US" w:eastAsia="zh-CN" w:bidi="ar"/>
              </w:rPr>
              <w:t>城管局或相关部门通报</w:t>
            </w:r>
            <w:r>
              <w:rPr>
                <w:rFonts w:hint="eastAsia" w:ascii="宋体" w:hAnsi="宋体" w:eastAsia="宋体" w:cs="宋体"/>
                <w:color w:val="auto"/>
                <w:kern w:val="2"/>
                <w:sz w:val="21"/>
                <w:szCs w:val="21"/>
                <w:highlight w:val="none"/>
                <w:lang w:bidi="ar"/>
              </w:rPr>
              <w:t>批评的，每次扣5分。</w:t>
            </w:r>
          </w:p>
        </w:tc>
        <w:tc>
          <w:tcPr>
            <w:tcW w:w="427" w:type="pct"/>
            <w:vMerge w:val="restart"/>
            <w:noWrap w:val="0"/>
            <w:vAlign w:val="center"/>
          </w:tcPr>
          <w:p>
            <w:pPr>
              <w:widowControl w:val="0"/>
              <w:adjustRightInd/>
              <w:snapToGrid/>
              <w:spacing w:after="0"/>
              <w:jc w:val="center"/>
              <w:rPr>
                <w:rFonts w:hint="eastAsia" w:ascii="宋体" w:hAnsi="宋体" w:eastAsia="宋体" w:cs="宋体"/>
                <w:color w:val="auto"/>
                <w:kern w:val="2"/>
                <w:sz w:val="21"/>
                <w:szCs w:val="24"/>
                <w:highlight w:val="none"/>
                <w:lang w:val="en-US" w:eastAsia="zh-CN"/>
              </w:rPr>
            </w:pPr>
            <w:r>
              <w:rPr>
                <w:rFonts w:hint="eastAsia" w:ascii="宋体" w:hAnsi="宋体" w:eastAsia="宋体" w:cs="宋体"/>
                <w:color w:val="auto"/>
                <w:kern w:val="2"/>
                <w:sz w:val="21"/>
                <w:szCs w:val="24"/>
                <w:highlight w:val="none"/>
                <w:lang w:val="en-US" w:eastAsia="zh-CN"/>
              </w:rPr>
              <w:t>10</w:t>
            </w: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vMerge w:val="continue"/>
            <w:noWrap w:val="0"/>
            <w:vAlign w:val="top"/>
          </w:tcPr>
          <w:p>
            <w:pPr>
              <w:widowControl/>
              <w:adjustRightInd/>
              <w:snapToGrid/>
              <w:spacing w:after="0" w:line="380" w:lineRule="exact"/>
              <w:jc w:val="center"/>
              <w:rPr>
                <w:rFonts w:hint="eastAsia" w:ascii="宋体" w:hAnsi="宋体" w:eastAsia="宋体" w:cs="宋体"/>
                <w:color w:val="auto"/>
                <w:kern w:val="0"/>
                <w:sz w:val="21"/>
                <w:szCs w:val="21"/>
                <w:highlight w:val="none"/>
                <w:lang w:bidi="ar"/>
              </w:rPr>
            </w:pPr>
          </w:p>
        </w:tc>
        <w:tc>
          <w:tcPr>
            <w:tcW w:w="3418" w:type="pct"/>
            <w:noWrap w:val="0"/>
            <w:vAlign w:val="top"/>
          </w:tcPr>
          <w:p>
            <w:pPr>
              <w:widowControl w:val="0"/>
              <w:adjustRightInd/>
              <w:snapToGrid/>
              <w:spacing w:after="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bidi="ar"/>
              </w:rPr>
              <w:t>2、被群众投诉或被数字城管系统反映的问题，经采购人核实并通知，</w:t>
            </w:r>
            <w:r>
              <w:rPr>
                <w:rFonts w:hint="eastAsia" w:ascii="宋体" w:hAnsi="宋体" w:eastAsia="宋体" w:cs="宋体"/>
                <w:color w:val="auto"/>
                <w:kern w:val="2"/>
                <w:sz w:val="21"/>
                <w:szCs w:val="21"/>
                <w:highlight w:val="none"/>
                <w:lang w:val="en-US" w:eastAsia="zh-CN" w:bidi="ar"/>
              </w:rPr>
              <w:t>1</w:t>
            </w:r>
            <w:r>
              <w:rPr>
                <w:rFonts w:hint="eastAsia" w:ascii="宋体" w:hAnsi="宋体" w:eastAsia="宋体" w:cs="宋体"/>
                <w:color w:val="auto"/>
                <w:kern w:val="2"/>
                <w:sz w:val="21"/>
                <w:szCs w:val="21"/>
                <w:highlight w:val="none"/>
                <w:lang w:bidi="ar"/>
              </w:rPr>
              <w:t>小时内不能处理的，每次扣2分</w:t>
            </w:r>
            <w:r>
              <w:rPr>
                <w:rFonts w:hint="eastAsia" w:ascii="宋体" w:hAnsi="宋体" w:eastAsia="宋体" w:cs="宋体"/>
                <w:color w:val="auto"/>
                <w:kern w:val="0"/>
                <w:sz w:val="21"/>
                <w:szCs w:val="21"/>
                <w:highlight w:val="none"/>
                <w:lang w:bidi="ar"/>
              </w:rPr>
              <w:t>。</w:t>
            </w:r>
            <w:r>
              <w:rPr>
                <w:rFonts w:hint="eastAsia" w:ascii="宋体" w:hAnsi="宋体" w:eastAsia="宋体" w:cs="宋体"/>
                <w:color w:val="auto"/>
                <w:kern w:val="2"/>
                <w:sz w:val="21"/>
                <w:szCs w:val="21"/>
                <w:highlight w:val="none"/>
                <w:lang w:bidi="ar"/>
              </w:rPr>
              <w:t>二次投诉属同一事件的每次（处）扣减5分。</w:t>
            </w:r>
          </w:p>
        </w:tc>
        <w:tc>
          <w:tcPr>
            <w:tcW w:w="427" w:type="pct"/>
            <w:vMerge w:val="continue"/>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c>
          <w:tcPr>
            <w:tcW w:w="390" w:type="pct"/>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5000" w:type="pct"/>
            <w:gridSpan w:val="4"/>
            <w:noWrap w:val="0"/>
            <w:vAlign w:val="top"/>
          </w:tcPr>
          <w:p>
            <w:pPr>
              <w:widowControl w:val="0"/>
              <w:adjustRightInd/>
              <w:snapToGrid/>
              <w:spacing w:after="0"/>
              <w:jc w:val="both"/>
              <w:rPr>
                <w:rFonts w:hint="eastAsia" w:ascii="宋体" w:hAnsi="宋体" w:eastAsia="宋体" w:cs="宋体"/>
                <w:color w:val="auto"/>
                <w:kern w:val="2"/>
                <w:sz w:val="21"/>
                <w:szCs w:val="24"/>
                <w:highlight w:val="none"/>
              </w:rPr>
            </w:pPr>
            <w:r>
              <w:rPr>
                <w:rFonts w:hint="eastAsia" w:ascii="宋体" w:hAnsi="宋体" w:eastAsia="宋体" w:cs="宋体"/>
                <w:b/>
                <w:bCs/>
                <w:color w:val="auto"/>
                <w:kern w:val="2"/>
                <w:sz w:val="21"/>
                <w:szCs w:val="21"/>
                <w:highlight w:val="none"/>
                <w:lang w:val="en-US" w:eastAsia="zh-CN" w:bidi="ar"/>
              </w:rPr>
              <w:t>备注：</w:t>
            </w:r>
            <w:r>
              <w:rPr>
                <w:rFonts w:hint="eastAsia" w:ascii="宋体" w:hAnsi="宋体" w:eastAsia="宋体" w:cs="宋体"/>
                <w:b/>
                <w:bCs/>
                <w:color w:val="auto"/>
                <w:kern w:val="2"/>
                <w:sz w:val="21"/>
                <w:szCs w:val="21"/>
                <w:highlight w:val="none"/>
                <w:lang w:bidi="ar"/>
              </w:rPr>
              <w:t>以上各项内容</w:t>
            </w:r>
            <w:r>
              <w:rPr>
                <w:rFonts w:hint="eastAsia" w:ascii="宋体" w:hAnsi="宋体" w:eastAsia="宋体" w:cs="宋体"/>
                <w:b/>
                <w:bCs/>
                <w:color w:val="auto"/>
                <w:kern w:val="2"/>
                <w:sz w:val="21"/>
                <w:szCs w:val="21"/>
                <w:highlight w:val="none"/>
                <w:lang w:val="en-US" w:eastAsia="zh-CN" w:bidi="ar"/>
              </w:rPr>
              <w:t>不设置扣分上限、不设置</w:t>
            </w:r>
            <w:r>
              <w:rPr>
                <w:rFonts w:hint="eastAsia" w:ascii="宋体" w:hAnsi="宋体" w:eastAsia="宋体" w:cs="宋体"/>
                <w:b/>
                <w:bCs/>
                <w:color w:val="auto"/>
                <w:kern w:val="2"/>
                <w:sz w:val="21"/>
                <w:szCs w:val="21"/>
                <w:highlight w:val="none"/>
                <w:lang w:bidi="ar"/>
              </w:rPr>
              <w:t>负分，每项分值扣完为止</w:t>
            </w:r>
            <w:r>
              <w:rPr>
                <w:rFonts w:hint="eastAsia" w:ascii="宋体" w:hAnsi="宋体" w:eastAsia="宋体" w:cs="宋体"/>
                <w:b/>
                <w:bCs/>
                <w:color w:val="auto"/>
                <w:kern w:val="2"/>
                <w:sz w:val="21"/>
                <w:szCs w:val="21"/>
                <w:highlight w:val="none"/>
                <w:lang w:eastAsia="zh-CN" w:bidi="ar"/>
              </w:rPr>
              <w:t>。</w:t>
            </w:r>
          </w:p>
        </w:tc>
      </w:tr>
    </w:tbl>
    <w:p>
      <w:pPr>
        <w:widowControl w:val="0"/>
        <w:adjustRightInd/>
        <w:snapToGrid/>
        <w:spacing w:after="0"/>
        <w:jc w:val="both"/>
        <w:rPr>
          <w:rFonts w:hint="default" w:ascii="Calibri" w:hAnsi="Calibri" w:eastAsia="宋体" w:cs="Times New Roman"/>
          <w:color w:val="auto"/>
          <w:kern w:val="2"/>
          <w:sz w:val="21"/>
          <w:szCs w:val="24"/>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after="0"/>
        <w:ind w:firstLine="442" w:firstLineChars="200"/>
        <w:jc w:val="both"/>
        <w:textAlignment w:val="auto"/>
        <w:rPr>
          <w:rFonts w:hint="default" w:ascii="Calibri" w:hAnsi="Calibri" w:eastAsia="宋体" w:cs="Times New Roman"/>
          <w:b/>
          <w:bCs/>
          <w:color w:val="auto"/>
          <w:kern w:val="2"/>
          <w:sz w:val="22"/>
          <w:szCs w:val="28"/>
          <w:highlight w:val="none"/>
          <w:lang w:val="en-US" w:eastAsia="zh-CN"/>
        </w:rPr>
      </w:pPr>
      <w:r>
        <w:rPr>
          <w:rFonts w:hint="eastAsia" w:ascii="Calibri" w:hAnsi="Calibri" w:eastAsia="宋体" w:cs="Times New Roman"/>
          <w:b/>
          <w:bCs/>
          <w:color w:val="auto"/>
          <w:kern w:val="2"/>
          <w:sz w:val="22"/>
          <w:szCs w:val="28"/>
          <w:highlight w:val="none"/>
          <w:lang w:val="en-US" w:eastAsia="zh-CN"/>
        </w:rPr>
        <w:t>退出机制</w:t>
      </w:r>
    </w:p>
    <w:p>
      <w:pPr>
        <w:keepNext w:val="0"/>
        <w:keepLines w:val="0"/>
        <w:pageBreakBefore w:val="0"/>
        <w:widowControl w:val="0"/>
        <w:numPr>
          <w:ilvl w:val="0"/>
          <w:numId w:val="0"/>
        </w:numPr>
        <w:kinsoku/>
        <w:wordWrap/>
        <w:overflowPunct/>
        <w:topLinePunct w:val="0"/>
        <w:autoSpaceDE/>
        <w:autoSpaceDN/>
        <w:bidi w:val="0"/>
        <w:adjustRightInd/>
        <w:snapToGrid/>
        <w:spacing w:before="0" w:line="288" w:lineRule="auto"/>
        <w:ind w:left="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中标人出现有下列任何一种情况的，采购人有权即时单方解除承包合同，并没收履约保金：</w:t>
      </w:r>
    </w:p>
    <w:p>
      <w:pPr>
        <w:keepNext w:val="0"/>
        <w:keepLines w:val="0"/>
        <w:pageBreakBefore w:val="0"/>
        <w:widowControl w:val="0"/>
        <w:numPr>
          <w:ilvl w:val="0"/>
          <w:numId w:val="0"/>
        </w:numPr>
        <w:kinsoku/>
        <w:wordWrap/>
        <w:overflowPunct/>
        <w:topLinePunct w:val="0"/>
        <w:autoSpaceDE/>
        <w:autoSpaceDN/>
        <w:bidi w:val="0"/>
        <w:adjustRightInd/>
        <w:snapToGrid/>
        <w:spacing w:before="0" w:line="288" w:lineRule="auto"/>
        <w:ind w:left="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（一）中标人书面表示放弃承包经营权，或无法继续履行承包义务的。</w:t>
      </w:r>
    </w:p>
    <w:p>
      <w:pPr>
        <w:keepNext w:val="0"/>
        <w:keepLines w:val="0"/>
        <w:pageBreakBefore w:val="0"/>
        <w:widowControl w:val="0"/>
        <w:numPr>
          <w:ilvl w:val="0"/>
          <w:numId w:val="0"/>
        </w:numPr>
        <w:kinsoku/>
        <w:wordWrap/>
        <w:overflowPunct/>
        <w:topLinePunct w:val="0"/>
        <w:autoSpaceDE/>
        <w:autoSpaceDN/>
        <w:bidi w:val="0"/>
        <w:adjustRightInd/>
        <w:snapToGrid/>
        <w:spacing w:before="0" w:line="288" w:lineRule="auto"/>
        <w:ind w:left="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（二）中标人服务有效期内累计三次以上(含三次)有越权收费、弄虚作假等违法经营行为的。</w:t>
      </w:r>
    </w:p>
    <w:p>
      <w:pPr>
        <w:keepNext w:val="0"/>
        <w:keepLines w:val="0"/>
        <w:pageBreakBefore w:val="0"/>
        <w:widowControl w:val="0"/>
        <w:numPr>
          <w:ilvl w:val="0"/>
          <w:numId w:val="0"/>
        </w:numPr>
        <w:kinsoku/>
        <w:wordWrap/>
        <w:overflowPunct/>
        <w:topLinePunct w:val="0"/>
        <w:autoSpaceDE/>
        <w:autoSpaceDN/>
        <w:bidi w:val="0"/>
        <w:adjustRightInd/>
        <w:snapToGrid/>
        <w:spacing w:before="0" w:line="288" w:lineRule="auto"/>
        <w:ind w:left="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（三）检查分数在80分以下连续二次（含二次）以上或一年内累积有二次低于70分以下的，除按规定扣款外，采购人有权解除协议，没收承包单位履约保证金，无偿退出。</w:t>
      </w:r>
    </w:p>
    <w:p>
      <w:pPr>
        <w:keepNext w:val="0"/>
        <w:keepLines w:val="0"/>
        <w:pageBreakBefore w:val="0"/>
        <w:widowControl w:val="0"/>
        <w:numPr>
          <w:ilvl w:val="0"/>
          <w:numId w:val="0"/>
        </w:numPr>
        <w:kinsoku/>
        <w:wordWrap/>
        <w:overflowPunct/>
        <w:topLinePunct w:val="0"/>
        <w:autoSpaceDE/>
        <w:autoSpaceDN/>
        <w:bidi w:val="0"/>
        <w:adjustRightInd/>
        <w:snapToGrid/>
        <w:spacing w:before="0" w:line="288" w:lineRule="auto"/>
        <w:ind w:left="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（四）合同范围内发生1人及以上人员死亡安全事故的，中标人负全部或主要责任的。</w:t>
      </w:r>
    </w:p>
    <w:p>
      <w:pPr>
        <w:keepNext w:val="0"/>
        <w:keepLines w:val="0"/>
        <w:pageBreakBefore w:val="0"/>
        <w:widowControl w:val="0"/>
        <w:numPr>
          <w:ilvl w:val="0"/>
          <w:numId w:val="0"/>
        </w:numPr>
        <w:kinsoku/>
        <w:wordWrap/>
        <w:overflowPunct/>
        <w:topLinePunct w:val="0"/>
        <w:autoSpaceDE/>
        <w:autoSpaceDN/>
        <w:bidi w:val="0"/>
        <w:adjustRightInd/>
        <w:snapToGrid/>
        <w:spacing w:before="0" w:line="288" w:lineRule="auto"/>
        <w:ind w:left="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（五）中标人因经营不善、财务状况不良、资不抵债导致公司破产，以及停业、歇业、吊销营业执照等情形的。</w:t>
      </w:r>
    </w:p>
    <w:p>
      <w:pPr>
        <w:keepNext w:val="0"/>
        <w:keepLines w:val="0"/>
        <w:pageBreakBefore w:val="0"/>
        <w:widowControl w:val="0"/>
        <w:numPr>
          <w:ilvl w:val="0"/>
          <w:numId w:val="0"/>
        </w:numPr>
        <w:kinsoku/>
        <w:wordWrap/>
        <w:overflowPunct/>
        <w:topLinePunct w:val="0"/>
        <w:autoSpaceDE/>
        <w:autoSpaceDN/>
        <w:bidi w:val="0"/>
        <w:adjustRightInd/>
        <w:snapToGrid/>
        <w:spacing w:before="0" w:line="288" w:lineRule="auto"/>
        <w:ind w:left="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（六）按合同约定采购人正常支付承包费情况下，中标人因欠薪问题被投诉后未妥善解决的。</w:t>
      </w:r>
    </w:p>
    <w:p>
      <w:pPr>
        <w:keepNext w:val="0"/>
        <w:keepLines w:val="0"/>
        <w:pageBreakBefore w:val="0"/>
        <w:widowControl w:val="0"/>
        <w:numPr>
          <w:ilvl w:val="0"/>
          <w:numId w:val="0"/>
        </w:numPr>
        <w:kinsoku/>
        <w:wordWrap/>
        <w:overflowPunct/>
        <w:topLinePunct w:val="0"/>
        <w:autoSpaceDE/>
        <w:autoSpaceDN/>
        <w:bidi w:val="0"/>
        <w:adjustRightInd/>
        <w:snapToGrid/>
        <w:spacing w:before="0" w:line="288" w:lineRule="auto"/>
        <w:ind w:left="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（七）《中华人民共和国民法典》、《中华人民共和国政府采购法》、《中华人民共和国政府采购法实施条例》等法律规定的中标无效或合同无效的情形。</w:t>
      </w:r>
    </w:p>
    <w:p>
      <w:pPr>
        <w:keepNext w:val="0"/>
        <w:keepLines w:val="0"/>
        <w:pageBreakBefore w:val="0"/>
        <w:widowControl w:val="0"/>
        <w:numPr>
          <w:ilvl w:val="0"/>
          <w:numId w:val="0"/>
        </w:numPr>
        <w:kinsoku/>
        <w:wordWrap/>
        <w:overflowPunct/>
        <w:topLinePunct w:val="0"/>
        <w:autoSpaceDE/>
        <w:autoSpaceDN/>
        <w:bidi w:val="0"/>
        <w:adjustRightInd/>
        <w:snapToGrid/>
        <w:spacing w:before="0" w:line="288" w:lineRule="auto"/>
        <w:ind w:left="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（八）如中标人有纵容、煽动工人怠工、罢工等过激行为的，或因中标人无视工人权益引致工人有怠工、罢工等过激行为的。</w:t>
      </w:r>
    </w:p>
    <w:p>
      <w:pPr>
        <w:keepNext w:val="0"/>
        <w:keepLines w:val="0"/>
        <w:pageBreakBefore w:val="0"/>
        <w:widowControl w:val="0"/>
        <w:numPr>
          <w:ilvl w:val="0"/>
          <w:numId w:val="0"/>
        </w:numPr>
        <w:kinsoku/>
        <w:wordWrap/>
        <w:overflowPunct/>
        <w:topLinePunct w:val="0"/>
        <w:autoSpaceDE/>
        <w:autoSpaceDN/>
        <w:bidi w:val="0"/>
        <w:adjustRightInd/>
        <w:snapToGrid/>
        <w:spacing w:before="0" w:line="288" w:lineRule="auto"/>
        <w:ind w:left="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（九）中标人违反劳动法，损害工人合法权益，出现性质严重或情节恶劣的。</w:t>
      </w:r>
    </w:p>
    <w:p>
      <w:pPr>
        <w:keepNext w:val="0"/>
        <w:keepLines w:val="0"/>
        <w:pageBreakBefore w:val="0"/>
        <w:widowControl w:val="0"/>
        <w:numPr>
          <w:ilvl w:val="0"/>
          <w:numId w:val="0"/>
        </w:numPr>
        <w:kinsoku/>
        <w:wordWrap/>
        <w:overflowPunct/>
        <w:topLinePunct w:val="0"/>
        <w:autoSpaceDE/>
        <w:autoSpaceDN/>
        <w:bidi w:val="0"/>
        <w:adjustRightInd/>
        <w:snapToGrid/>
        <w:spacing w:before="0" w:line="288" w:lineRule="auto"/>
        <w:ind w:left="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（十）中标人有转包、分包行为的。</w:t>
      </w:r>
    </w:p>
    <w:p>
      <w:pPr>
        <w:keepNext w:val="0"/>
        <w:keepLines w:val="0"/>
        <w:pageBreakBefore w:val="0"/>
        <w:widowControl w:val="0"/>
        <w:numPr>
          <w:ilvl w:val="0"/>
          <w:numId w:val="0"/>
        </w:numPr>
        <w:kinsoku/>
        <w:wordWrap/>
        <w:overflowPunct/>
        <w:topLinePunct w:val="0"/>
        <w:autoSpaceDE/>
        <w:autoSpaceDN/>
        <w:bidi w:val="0"/>
        <w:adjustRightInd/>
        <w:snapToGrid/>
        <w:spacing w:before="0" w:line="288" w:lineRule="auto"/>
        <w:ind w:left="0" w:firstLine="420" w:firstLineChars="200"/>
        <w:jc w:val="both"/>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（十一）中标人无故停工。</w:t>
      </w:r>
    </w:p>
    <w:p>
      <w:pPr>
        <w:keepNext w:val="0"/>
        <w:keepLines w:val="0"/>
        <w:pageBreakBefore w:val="0"/>
        <w:widowControl w:val="0"/>
        <w:numPr>
          <w:ilvl w:val="0"/>
          <w:numId w:val="0"/>
        </w:numPr>
        <w:kinsoku/>
        <w:wordWrap/>
        <w:overflowPunct/>
        <w:topLinePunct w:val="0"/>
        <w:autoSpaceDE/>
        <w:autoSpaceDN/>
        <w:bidi w:val="0"/>
        <w:adjustRightInd/>
        <w:snapToGrid/>
        <w:spacing w:before="0" w:line="288" w:lineRule="auto"/>
        <w:ind w:left="0" w:firstLine="420" w:firstLineChars="200"/>
        <w:jc w:val="both"/>
        <w:textAlignment w:val="auto"/>
        <w:rPr>
          <w:rFonts w:hint="eastAsia" w:ascii="宋体" w:hAnsi="宋体" w:eastAsia="宋体" w:cs="Times New Roman"/>
          <w:b/>
          <w:bCs/>
          <w:color w:val="auto"/>
          <w:sz w:val="21"/>
          <w:szCs w:val="21"/>
          <w:highlight w:val="none"/>
        </w:rPr>
      </w:pPr>
      <w:r>
        <w:rPr>
          <w:rFonts w:hint="eastAsia" w:ascii="宋体" w:hAnsi="宋体" w:eastAsia="宋体" w:cs="宋体"/>
          <w:color w:val="auto"/>
          <w:kern w:val="2"/>
          <w:sz w:val="21"/>
          <w:szCs w:val="21"/>
          <w:highlight w:val="none"/>
          <w:lang w:val="en-US" w:eastAsia="zh-CN" w:bidi="zh-CN"/>
        </w:rPr>
        <w:t>（十二）中标人有其他违法经营行为，可能导致本合同无法继续履行的。</w:t>
      </w:r>
    </w:p>
    <w:p>
      <w:pPr>
        <w:pageBreakBefore w:val="0"/>
        <w:kinsoku/>
        <w:topLinePunct w:val="0"/>
        <w:autoSpaceDE/>
        <w:autoSpaceDN/>
        <w:bidi w:val="0"/>
        <w:spacing w:after="0" w:line="360" w:lineRule="auto"/>
        <w:ind w:firstLine="422" w:firstLineChars="200"/>
        <w:rPr>
          <w:rFonts w:hint="eastAsia" w:ascii="宋体" w:hAnsi="宋体" w:eastAsia="宋体" w:cs="Times New Roman"/>
          <w:b/>
          <w:bCs/>
          <w:color w:val="auto"/>
          <w:sz w:val="21"/>
          <w:szCs w:val="21"/>
          <w:highlight w:val="none"/>
        </w:rPr>
      </w:pPr>
    </w:p>
    <w:p>
      <w:pPr>
        <w:pageBreakBefore w:val="0"/>
        <w:kinsoku/>
        <w:topLinePunct w:val="0"/>
        <w:autoSpaceDE/>
        <w:autoSpaceDN/>
        <w:bidi w:val="0"/>
        <w:spacing w:after="0" w:line="360" w:lineRule="auto"/>
        <w:ind w:firstLine="422" w:firstLineChars="200"/>
        <w:rPr>
          <w:rFonts w:hint="eastAsia" w:ascii="宋体" w:hAnsi="宋体" w:eastAsia="宋体" w:cs="Times New Roman"/>
          <w:b/>
          <w:bCs/>
          <w:color w:val="auto"/>
          <w:sz w:val="21"/>
          <w:szCs w:val="21"/>
          <w:highlight w:val="none"/>
        </w:rPr>
      </w:pPr>
    </w:p>
    <w:bookmarkEnd w:id="6"/>
    <w:bookmarkEnd w:id="7"/>
    <w:bookmarkEnd w:id="8"/>
    <w:bookmarkEnd w:id="9"/>
    <w:p>
      <w:pPr>
        <w:pStyle w:val="3"/>
        <w:pageBreakBefore w:val="0"/>
        <w:kinsoku/>
        <w:topLinePunct w:val="0"/>
        <w:autoSpaceDE/>
        <w:autoSpaceDN/>
        <w:bidi w:val="0"/>
        <w:spacing w:before="0" w:after="0" w:line="360" w:lineRule="auto"/>
        <w:rPr>
          <w:color w:val="auto"/>
          <w:sz w:val="24"/>
          <w:szCs w:val="24"/>
          <w:highlight w:val="none"/>
        </w:rPr>
      </w:pPr>
      <w:r>
        <w:rPr>
          <w:rFonts w:hint="eastAsia"/>
          <w:color w:val="auto"/>
          <w:sz w:val="24"/>
          <w:szCs w:val="24"/>
          <w:highlight w:val="none"/>
        </w:rPr>
        <w:br w:type="page"/>
      </w:r>
      <w:bookmarkStart w:id="10" w:name="_Toc27370"/>
      <w:r>
        <w:rPr>
          <w:rFonts w:hint="eastAsia"/>
          <w:color w:val="auto"/>
          <w:sz w:val="28"/>
          <w:szCs w:val="28"/>
          <w:highlight w:val="none"/>
        </w:rPr>
        <w:t>第四部分 投标人须知</w:t>
      </w:r>
      <w:bookmarkEnd w:id="10"/>
    </w:p>
    <w:p>
      <w:pPr>
        <w:pStyle w:val="4"/>
        <w:keepNext/>
        <w:keepLines/>
        <w:pageBreakBefore w:val="0"/>
        <w:widowControl/>
        <w:numPr>
          <w:ilvl w:val="0"/>
          <w:numId w:val="2"/>
        </w:numPr>
        <w:kinsoku/>
        <w:wordWrap/>
        <w:overflowPunct/>
        <w:topLinePunct w:val="0"/>
        <w:autoSpaceDE/>
        <w:autoSpaceDN/>
        <w:bidi w:val="0"/>
        <w:adjustRightInd w:val="0"/>
        <w:snapToGrid w:val="0"/>
        <w:spacing w:before="0" w:after="0" w:line="360" w:lineRule="auto"/>
        <w:ind w:left="0" w:firstLine="0"/>
        <w:jc w:val="center"/>
        <w:textAlignment w:val="auto"/>
        <w:rPr>
          <w:rFonts w:ascii="宋体" w:hAnsi="宋体" w:eastAsia="宋体"/>
          <w:color w:val="auto"/>
          <w:highlight w:val="none"/>
        </w:rPr>
      </w:pPr>
      <w:bookmarkStart w:id="11" w:name="_Toc8045"/>
      <w:r>
        <w:rPr>
          <w:rFonts w:hint="eastAsia" w:ascii="宋体" w:hAnsi="宋体" w:eastAsia="宋体"/>
          <w:color w:val="auto"/>
          <w:highlight w:val="none"/>
        </w:rPr>
        <w:t>说明</w:t>
      </w:r>
      <w:bookmarkEnd w:id="11"/>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12" w:name="_Toc2381"/>
      <w:r>
        <w:rPr>
          <w:rFonts w:hint="eastAsia" w:ascii="宋体" w:hAnsi="宋体" w:eastAsia="宋体"/>
          <w:color w:val="auto"/>
          <w:sz w:val="21"/>
          <w:szCs w:val="21"/>
          <w:highlight w:val="none"/>
        </w:rPr>
        <w:t>1.适用范围</w:t>
      </w:r>
      <w:bookmarkEnd w:id="12"/>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招标范围：见本文件《用户需求书》</w:t>
      </w:r>
    </w:p>
    <w:p>
      <w:pPr>
        <w:pageBreakBefore w:val="0"/>
        <w:kinsoku/>
        <w:wordWrap/>
        <w:topLinePunct w:val="0"/>
        <w:autoSpaceDE/>
        <w:autoSpaceDN/>
        <w:bidi w:val="0"/>
        <w:spacing w:line="400" w:lineRule="exact"/>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13" w:name="_Toc15203"/>
      <w:r>
        <w:rPr>
          <w:rFonts w:hint="eastAsia" w:ascii="宋体" w:hAnsi="宋体" w:eastAsia="宋体"/>
          <w:color w:val="auto"/>
          <w:sz w:val="21"/>
          <w:szCs w:val="21"/>
          <w:highlight w:val="none"/>
        </w:rPr>
        <w:t>2.</w:t>
      </w:r>
      <w:bookmarkStart w:id="14" w:name="_Toc298847174"/>
      <w:bookmarkStart w:id="15" w:name="_Toc303084246"/>
      <w:bookmarkStart w:id="16" w:name="_Toc1530"/>
      <w:bookmarkStart w:id="17" w:name="_Toc382049092"/>
      <w:r>
        <w:rPr>
          <w:rFonts w:hint="eastAsia" w:ascii="宋体" w:hAnsi="宋体" w:eastAsia="宋体"/>
          <w:color w:val="auto"/>
          <w:sz w:val="21"/>
          <w:szCs w:val="21"/>
          <w:highlight w:val="none"/>
        </w:rPr>
        <w:t>定义</w:t>
      </w:r>
      <w:bookmarkEnd w:id="13"/>
      <w:bookmarkEnd w:id="14"/>
      <w:bookmarkEnd w:id="15"/>
      <w:bookmarkEnd w:id="16"/>
      <w:bookmarkEnd w:id="17"/>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采购人：</w:t>
      </w:r>
      <w:r>
        <w:rPr>
          <w:rFonts w:ascii="宋体" w:hAnsi="宋体" w:eastAsia="宋体"/>
          <w:color w:val="auto"/>
          <w:sz w:val="21"/>
          <w:szCs w:val="21"/>
          <w:highlight w:val="none"/>
        </w:rPr>
        <w:t>是指依法进行政府采购的国家机关、事业单位</w:t>
      </w:r>
      <w:r>
        <w:rPr>
          <w:rFonts w:hint="eastAsia" w:ascii="宋体" w:hAnsi="宋体" w:eastAsia="宋体"/>
          <w:color w:val="auto"/>
          <w:sz w:val="21"/>
          <w:szCs w:val="21"/>
          <w:highlight w:val="none"/>
        </w:rPr>
        <w:t>等</w:t>
      </w:r>
      <w:r>
        <w:rPr>
          <w:rFonts w:ascii="宋体" w:hAnsi="宋体" w:eastAsia="宋体"/>
          <w:color w:val="auto"/>
          <w:sz w:val="21"/>
          <w:szCs w:val="21"/>
          <w:highlight w:val="none"/>
        </w:rPr>
        <w:t>团体组织</w:t>
      </w:r>
      <w:r>
        <w:rPr>
          <w:rFonts w:hint="eastAsia" w:ascii="宋体" w:hAnsi="宋体" w:eastAsia="宋体"/>
          <w:color w:val="auto"/>
          <w:sz w:val="21"/>
          <w:szCs w:val="21"/>
          <w:highlight w:val="none"/>
        </w:rPr>
        <w:t>。</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投标人：响应招标并且符合招标文件规定资格条件和参加投标竞争的法人、其他组织或者自然人。</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法人：法人是依法在国内进行注册并具有民事权利能力和民事行为能力，依法独立享有民事权利和承担民事义务的组织。</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中标人：指经评标委员会评审推荐、采购人确认的获得本项目中标资格的投标人。</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采购代理机构：三方诚信招标有限公司东莞分公司。</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评标委员会：评标委员会是依据《中华人民共和国政府采购法》及其实施条例、《政府采购货物和服务招标投标管理办法》等组建的专门负责本次招标其评标工作的临时性机构。</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合同：指由本次招标所产生的合同或合约文件。</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公章：</w:t>
      </w:r>
      <w:r>
        <w:rPr>
          <w:rFonts w:ascii="宋体" w:hAnsi="宋体" w:eastAsia="宋体"/>
          <w:color w:val="auto"/>
          <w:sz w:val="21"/>
          <w:szCs w:val="21"/>
          <w:highlight w:val="none"/>
        </w:rPr>
        <w:t>公章是</w:t>
      </w:r>
      <w:r>
        <w:rPr>
          <w:rFonts w:ascii="宋体" w:hAnsi="宋体" w:eastAsia="宋体"/>
          <w:iCs/>
          <w:color w:val="auto"/>
          <w:sz w:val="21"/>
          <w:szCs w:val="21"/>
          <w:highlight w:val="none"/>
        </w:rPr>
        <w:t>指</w:t>
      </w:r>
      <w:r>
        <w:rPr>
          <w:rFonts w:hint="eastAsia" w:ascii="宋体" w:hAnsi="宋体" w:eastAsia="宋体"/>
          <w:iCs/>
          <w:color w:val="auto"/>
          <w:sz w:val="21"/>
          <w:szCs w:val="21"/>
          <w:highlight w:val="none"/>
        </w:rPr>
        <w:t>经过正规的法定程序并备案的法人公章与投标专用章。（投标人如在投标文件中使用“投标专用章”，应提供法定代表人签字或加盖公章说明该“投标专用章”与法人公章具备同等效力的证明文件，且投标当天应携带相关原件到现场，以供核查。因投标文件未提供相关手续复印件和无法核查投标专用章的真实性而导致的后果由投标人自行承担。</w:t>
      </w:r>
      <w:r>
        <w:rPr>
          <w:rFonts w:hint="eastAsia" w:ascii="宋体" w:hAnsi="宋体" w:eastAsia="宋体"/>
          <w:color w:val="auto"/>
          <w:sz w:val="21"/>
          <w:szCs w:val="21"/>
          <w:highlight w:val="none"/>
        </w:rPr>
        <w:t>）</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时间</w:t>
      </w:r>
      <w:r>
        <w:rPr>
          <w:rFonts w:hint="eastAsia" w:ascii="宋体" w:hAnsi="宋体" w:eastAsia="宋体"/>
          <w:iCs/>
          <w:color w:val="auto"/>
          <w:sz w:val="21"/>
          <w:szCs w:val="21"/>
          <w:highlight w:val="none"/>
        </w:rPr>
        <w:t>：本文件规定按日计算期间的，开始当天不计入，从次日开始计算。期限的最后一日是国家法定节假日的，顺延到节假日后的次日为期限的最后一日。</w:t>
      </w:r>
    </w:p>
    <w:p>
      <w:pPr>
        <w:pageBreakBefore w:val="0"/>
        <w:kinsoku/>
        <w:wordWrap/>
        <w:topLinePunct w:val="0"/>
        <w:autoSpaceDE/>
        <w:autoSpaceDN/>
        <w:bidi w:val="0"/>
        <w:spacing w:line="400" w:lineRule="exact"/>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18" w:name="_Toc1072"/>
      <w:r>
        <w:rPr>
          <w:rFonts w:hint="eastAsia" w:ascii="宋体" w:hAnsi="宋体" w:eastAsia="宋体"/>
          <w:color w:val="auto"/>
          <w:sz w:val="21"/>
          <w:szCs w:val="21"/>
          <w:highlight w:val="none"/>
        </w:rPr>
        <w:t>3.货物和服务</w:t>
      </w:r>
      <w:bookmarkEnd w:id="18"/>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iCs/>
          <w:color w:val="auto"/>
          <w:sz w:val="21"/>
          <w:szCs w:val="21"/>
          <w:highlight w:val="none"/>
        </w:rPr>
      </w:pPr>
      <w:r>
        <w:rPr>
          <w:rFonts w:hint="eastAsia" w:ascii="宋体" w:hAnsi="宋体" w:eastAsia="宋体"/>
          <w:iCs/>
          <w:color w:val="auto"/>
          <w:sz w:val="21"/>
          <w:szCs w:val="21"/>
          <w:highlight w:val="none"/>
        </w:rPr>
        <w:t>货物是指投标人制造或组织符合招标文件要求的货物等。投标的货物必须是其合法生产、合法来源的符合国家有关标准要求的货物，并满足招标文件规定的规格、参数、质量、价格、有效期、售后服务等要求。</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iCs/>
          <w:color w:val="auto"/>
          <w:sz w:val="21"/>
          <w:szCs w:val="21"/>
          <w:highlight w:val="none"/>
        </w:rPr>
      </w:pPr>
      <w:r>
        <w:rPr>
          <w:rFonts w:hint="eastAsia" w:ascii="宋体" w:hAnsi="宋体" w:eastAsia="宋体"/>
          <w:iCs/>
          <w:color w:val="auto"/>
          <w:sz w:val="21"/>
          <w:szCs w:val="21"/>
          <w:highlight w:val="none"/>
        </w:rPr>
        <w:t>服务是指除货物和工程以外的其他政府采购对象，且满足实质性采购需求。</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iCs/>
          <w:color w:val="auto"/>
          <w:sz w:val="21"/>
          <w:szCs w:val="21"/>
          <w:highlight w:val="none"/>
        </w:rPr>
      </w:pPr>
      <w:r>
        <w:rPr>
          <w:rFonts w:hint="eastAsia" w:ascii="宋体" w:hAnsi="宋体" w:eastAsia="宋体"/>
          <w:iCs/>
          <w:color w:val="auto"/>
          <w:sz w:val="21"/>
          <w:szCs w:val="21"/>
          <w:highlight w:val="none"/>
        </w:rPr>
        <w:t>政府采购应当采购本国产品，确需采购进口产品（是指通过中国海关报关验放进入中国境内且产自关境外的产品）的，</w:t>
      </w:r>
      <w:bookmarkStart w:id="19" w:name="_Toc211763038"/>
      <w:r>
        <w:rPr>
          <w:rFonts w:hint="eastAsia" w:ascii="宋体" w:hAnsi="宋体" w:eastAsia="宋体"/>
          <w:iCs/>
          <w:color w:val="auto"/>
          <w:sz w:val="21"/>
          <w:szCs w:val="21"/>
          <w:highlight w:val="none"/>
        </w:rPr>
        <w:t>应当获得财政部门核准。依据《政府采购进口产品管理办法</w:t>
      </w:r>
      <w:bookmarkEnd w:id="19"/>
      <w:r>
        <w:rPr>
          <w:rFonts w:hint="eastAsia" w:ascii="宋体" w:hAnsi="宋体" w:eastAsia="宋体"/>
          <w:iCs/>
          <w:color w:val="auto"/>
          <w:sz w:val="21"/>
          <w:szCs w:val="21"/>
          <w:highlight w:val="none"/>
        </w:rPr>
        <w:t>》优先采购向我国企业转让技术、与我国企业签订消化吸收再创新方案的供应商的进口产品。</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iCs/>
          <w:color w:val="auto"/>
          <w:sz w:val="21"/>
          <w:szCs w:val="21"/>
          <w:highlight w:val="none"/>
        </w:rPr>
      </w:pPr>
      <w:r>
        <w:rPr>
          <w:rFonts w:hint="eastAsia" w:ascii="宋体" w:hAnsi="宋体" w:eastAsia="宋体"/>
          <w:iCs/>
          <w:color w:val="auto"/>
          <w:sz w:val="21"/>
          <w:szCs w:val="21"/>
          <w:highlight w:val="none"/>
        </w:rPr>
        <w:t>若所投产品属于政府强制采购节能产品的，则投标人必须提供该产品国家强制性节能产品进行响应，并提供有效的中国节能产品认证证书，否则视为无效投标。</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iCs/>
          <w:color w:val="auto"/>
          <w:sz w:val="21"/>
          <w:szCs w:val="21"/>
          <w:highlight w:val="none"/>
        </w:rPr>
      </w:pPr>
      <w:r>
        <w:rPr>
          <w:rFonts w:hint="eastAsia" w:ascii="宋体" w:hAnsi="宋体" w:eastAsia="宋体"/>
          <w:iCs/>
          <w:color w:val="auto"/>
          <w:sz w:val="21"/>
          <w:szCs w:val="21"/>
          <w:highlight w:val="none"/>
        </w:rPr>
        <w:t>投标人提供的所有服务，其质量、技术等特征必须符合国家、行业现行法律、法规的相关标准和《中华人民共和国政府采购法》的有关规定及用户需求。</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iCs/>
          <w:color w:val="auto"/>
          <w:sz w:val="21"/>
          <w:szCs w:val="21"/>
          <w:highlight w:val="none"/>
        </w:rPr>
      </w:pPr>
      <w:r>
        <w:rPr>
          <w:rFonts w:hint="eastAsia" w:ascii="宋体" w:hAnsi="宋体" w:eastAsia="宋体"/>
          <w:iCs/>
          <w:color w:val="auto"/>
          <w:sz w:val="21"/>
          <w:szCs w:val="21"/>
          <w:highlight w:val="none"/>
        </w:rPr>
        <w:t>采购人有权拒绝接受任何不合格的服务，由此产生的费用及相关后果均由中标人自行承担；</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iCs/>
          <w:color w:val="auto"/>
          <w:sz w:val="21"/>
          <w:szCs w:val="21"/>
          <w:highlight w:val="none"/>
        </w:rPr>
      </w:pPr>
      <w:r>
        <w:rPr>
          <w:rFonts w:hint="eastAsia" w:ascii="宋体" w:hAnsi="宋体" w:eastAsia="宋体"/>
          <w:iCs/>
          <w:color w:val="auto"/>
          <w:sz w:val="21"/>
          <w:szCs w:val="21"/>
          <w:highlight w:val="none"/>
        </w:rPr>
        <w:t>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pPr>
        <w:pageBreakBefore w:val="0"/>
        <w:kinsoku/>
        <w:wordWrap/>
        <w:topLinePunct w:val="0"/>
        <w:autoSpaceDE/>
        <w:autoSpaceDN/>
        <w:bidi w:val="0"/>
        <w:spacing w:line="400" w:lineRule="exact"/>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20" w:name="_Toc16909"/>
      <w:r>
        <w:rPr>
          <w:rFonts w:hint="eastAsia" w:ascii="宋体" w:hAnsi="宋体" w:eastAsia="宋体"/>
          <w:color w:val="auto"/>
          <w:sz w:val="21"/>
          <w:szCs w:val="21"/>
          <w:highlight w:val="none"/>
        </w:rPr>
        <w:t>4.投标费用</w:t>
      </w:r>
      <w:bookmarkEnd w:id="20"/>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投标人应承担所有与编写投标文件和参加投标有关的自身的所有费用，不论投标的结果如何，采购代理机构和采购人在任何情况下均无义务和责任承担这些费用。</w:t>
      </w:r>
    </w:p>
    <w:p>
      <w:pPr>
        <w:pageBreakBefore w:val="0"/>
        <w:widowControl w:val="0"/>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21" w:name="_Toc24409"/>
      <w:r>
        <w:rPr>
          <w:rFonts w:hint="eastAsia" w:ascii="宋体" w:hAnsi="宋体" w:eastAsia="宋体"/>
          <w:color w:val="auto"/>
          <w:sz w:val="21"/>
          <w:szCs w:val="21"/>
          <w:highlight w:val="none"/>
        </w:rPr>
        <w:t>5.知识产权</w:t>
      </w:r>
      <w:bookmarkEnd w:id="21"/>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采购人享有本项目实施过程中产生的知识成果及知识产权。</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投标人如</w:t>
      </w:r>
      <w:r>
        <w:rPr>
          <w:rFonts w:hint="eastAsia" w:ascii="宋体" w:hAnsi="宋体" w:eastAsia="宋体"/>
          <w:color w:val="auto"/>
          <w:sz w:val="21"/>
          <w:szCs w:val="21"/>
          <w:highlight w:val="none"/>
          <w:lang w:eastAsia="zh-CN"/>
        </w:rPr>
        <w:t>欲</w:t>
      </w:r>
      <w:r>
        <w:rPr>
          <w:rFonts w:hint="eastAsia" w:ascii="宋体" w:hAnsi="宋体" w:eastAsia="宋体"/>
          <w:color w:val="auto"/>
          <w:sz w:val="21"/>
          <w:szCs w:val="21"/>
          <w:highlight w:val="none"/>
        </w:rPr>
        <w:t>在项目实施过程中采用自有知识成果，需在投标文件中声明，并提供相关知识产权证明文件。使用该知识成果后，投标人需提供开发接口和开发手册等技术文档。</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采购货物为计算机办公设备时，投标人提供的产品必须是预装正版操作系统软件的计算机产品。</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lang w:eastAsia="zh-CN"/>
        </w:rPr>
        <w:t>投标人提供的服务、货物经认定存在侵权行为的，其投标无效，并上报相关监管部门。</w:t>
      </w:r>
    </w:p>
    <w:p>
      <w:pPr>
        <w:pageBreakBefore w:val="0"/>
        <w:widowControl w:val="0"/>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hint="eastAsia" w:ascii="宋体" w:hAnsi="宋体" w:eastAsia="宋体"/>
          <w:color w:val="auto"/>
          <w:sz w:val="21"/>
          <w:szCs w:val="21"/>
          <w:highlight w:val="none"/>
          <w:lang w:eastAsia="zh-CN"/>
        </w:rPr>
      </w:pPr>
      <w:bookmarkStart w:id="22" w:name="_Toc25530"/>
      <w:r>
        <w:rPr>
          <w:rFonts w:hint="eastAsia" w:ascii="宋体" w:hAnsi="宋体" w:eastAsia="宋体"/>
          <w:color w:val="auto"/>
          <w:sz w:val="21"/>
          <w:szCs w:val="21"/>
          <w:highlight w:val="none"/>
        </w:rPr>
        <w:t>6.关于联合体投标</w:t>
      </w:r>
      <w:bookmarkEnd w:id="22"/>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stheme="minorBidi"/>
          <w:b w:val="0"/>
          <w:bCs w:val="0"/>
          <w:color w:val="auto"/>
          <w:sz w:val="21"/>
          <w:szCs w:val="21"/>
          <w:highlight w:val="none"/>
          <w:lang w:val="en-US" w:eastAsia="zh-CN" w:bidi="ar-SA"/>
        </w:rPr>
        <w:t>联合体投标必须满足以下条款。（除非投标邀请函中另有规定不接受联合体投标）</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对接受联合体投标的项目：两个以上的自然人、法人或者其他组织可以组成一个联合体，以一个投标人的身份共同参加政府采购。</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以联合体形式参与项目的</w:t>
      </w:r>
      <w:r>
        <w:rPr>
          <w:rFonts w:hint="eastAsia" w:ascii="宋体" w:hAnsi="宋体" w:eastAsia="宋体"/>
          <w:color w:val="auto"/>
          <w:sz w:val="21"/>
          <w:szCs w:val="21"/>
          <w:highlight w:val="none"/>
          <w:lang w:eastAsia="zh-CN"/>
        </w:rPr>
        <w:t>供应商</w:t>
      </w:r>
      <w:r>
        <w:rPr>
          <w:rFonts w:hint="eastAsia" w:ascii="宋体" w:hAnsi="宋体" w:eastAsia="宋体"/>
          <w:color w:val="auto"/>
          <w:sz w:val="21"/>
          <w:szCs w:val="21"/>
          <w:highlight w:val="none"/>
        </w:rPr>
        <w:t>在领购</w:t>
      </w:r>
      <w:r>
        <w:rPr>
          <w:rFonts w:hint="eastAsia" w:ascii="宋体" w:hAnsi="宋体" w:eastAsia="宋体"/>
          <w:color w:val="auto"/>
          <w:sz w:val="21"/>
          <w:szCs w:val="21"/>
          <w:highlight w:val="none"/>
          <w:lang w:val="en-US" w:eastAsia="zh-CN"/>
        </w:rPr>
        <w:t>招标</w:t>
      </w:r>
      <w:r>
        <w:rPr>
          <w:rFonts w:hint="eastAsia" w:ascii="宋体" w:hAnsi="宋体" w:eastAsia="宋体"/>
          <w:color w:val="auto"/>
          <w:sz w:val="21"/>
          <w:szCs w:val="21"/>
          <w:highlight w:val="none"/>
        </w:rPr>
        <w:t>文件时，应提供所有联合体组成成员的营业执照复印件，并加盖各联合体组成成员的公章。</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联合体各方均应当符合《政府采购法》第二十二条规定的条件。</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采购人根据采购项目的特殊要求规定投标人特定条件的，联合体各方中至少应当有一方符合采购人规定的特定条件。</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联合体各方之间应当签订共同投标协议并</w:t>
      </w:r>
      <w:r>
        <w:rPr>
          <w:rFonts w:ascii="宋体" w:hAnsi="宋体" w:eastAsia="宋体"/>
          <w:color w:val="auto"/>
          <w:sz w:val="21"/>
          <w:szCs w:val="21"/>
          <w:highlight w:val="none"/>
        </w:rPr>
        <w:t>在投标文件内提交</w:t>
      </w:r>
      <w:r>
        <w:rPr>
          <w:rFonts w:hint="eastAsia" w:ascii="宋体" w:hAnsi="宋体" w:eastAsia="宋体"/>
          <w:color w:val="auto"/>
          <w:sz w:val="21"/>
          <w:szCs w:val="21"/>
          <w:highlight w:val="none"/>
        </w:rPr>
        <w:t>，明确约定联合体各方承担的工作和相应的责任。联合体各方签订共同投标协议后，不得再以自己名义单独在同一项目中投标，也不得组成新的联合体参加同一项目投标。</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供应商为联合体的，可以由联合体中的任意一方交纳保证金，其交纳的保证金对联合体各方均具有约束力。</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联合体中有同类资质的投标人按照联合体分工承担相同工作的，应当按照资质等级较低的供应商确定资质等级。</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以</w:t>
      </w:r>
      <w:r>
        <w:rPr>
          <w:rFonts w:hint="eastAsia" w:ascii="宋体" w:hAnsi="宋体" w:eastAsia="宋体"/>
          <w:color w:val="auto"/>
          <w:sz w:val="21"/>
          <w:szCs w:val="21"/>
          <w:highlight w:val="none"/>
        </w:rPr>
        <w:t>联合体形式参加政府采购活动，联合体各方均为中小企业的，联合体视同中小企业。其中，联合体各方均为小微企业的，联合体视同小微企业。</w:t>
      </w:r>
      <w:r>
        <w:rPr>
          <w:rFonts w:hint="eastAsia" w:ascii="宋体" w:hAnsi="宋体" w:eastAsia="宋体"/>
          <w:color w:val="auto"/>
          <w:sz w:val="21"/>
          <w:szCs w:val="21"/>
          <w:highlight w:val="none"/>
          <w:lang w:eastAsia="zh-CN"/>
        </w:rPr>
        <w:t>双方均应提供《中小企业声明函》。</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除联合体协议明确授权盖章单位外，联合体投标时投标文件中所有要求盖章的地方均须加盖联合体所有组成成员的公章，否则该处盖章无效。</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联合体进行评分时，业绩、奖项等的认定和评分根据共同投标协议约定的各方承担的工作和相应责任，确定一方打分，不累加打分；评审标准不明确或难以明确以哪一方计算评分情况时，则按主体方情况评分。</w:t>
      </w:r>
    </w:p>
    <w:p>
      <w:pPr>
        <w:pageBreakBefore w:val="0"/>
        <w:widowControl w:val="0"/>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23" w:name="_Toc24312"/>
      <w:r>
        <w:rPr>
          <w:rFonts w:hint="eastAsia" w:ascii="宋体" w:hAnsi="宋体" w:eastAsia="宋体"/>
          <w:color w:val="auto"/>
          <w:sz w:val="21"/>
          <w:szCs w:val="21"/>
          <w:highlight w:val="none"/>
        </w:rPr>
        <w:t>7.关于分支机构投标</w:t>
      </w:r>
      <w:bookmarkEnd w:id="23"/>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bookmarkStart w:id="24" w:name="EB389f116341dd4693875bc7987e7327f3"/>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分支机构</w:t>
      </w:r>
      <w:r>
        <w:rPr>
          <w:rFonts w:ascii="宋体" w:hAnsi="宋体" w:eastAsia="宋体"/>
          <w:color w:val="auto"/>
          <w:sz w:val="21"/>
          <w:szCs w:val="21"/>
          <w:highlight w:val="none"/>
        </w:rPr>
        <w:t>投标的，需提供具有法人资格的总公司的营业执照原件扫描件及授权书，授权书须加盖总公司公章。总公司可就本项目或此类项目在一定范围或时间内出具授权书。已由总公司授权的，总公司取得的相关资质证书对分公司有效，法律法规或者行业另有规定的除外。</w:t>
      </w:r>
      <w:bookmarkEnd w:id="24"/>
    </w:p>
    <w:p>
      <w:pPr>
        <w:pageBreakBefore w:val="0"/>
        <w:kinsoku/>
        <w:topLinePunct w:val="0"/>
        <w:autoSpaceDE/>
        <w:autoSpaceDN/>
        <w:bidi w:val="0"/>
        <w:spacing w:line="360" w:lineRule="auto"/>
        <w:rPr>
          <w:color w:val="auto"/>
          <w:highlight w:val="none"/>
        </w:rPr>
      </w:pPr>
    </w:p>
    <w:p>
      <w:pPr>
        <w:pStyle w:val="4"/>
        <w:keepNext/>
        <w:keepLines/>
        <w:pageBreakBefore w:val="0"/>
        <w:widowControl/>
        <w:numPr>
          <w:ilvl w:val="0"/>
          <w:numId w:val="2"/>
        </w:numPr>
        <w:kinsoku/>
        <w:wordWrap/>
        <w:overflowPunct/>
        <w:topLinePunct w:val="0"/>
        <w:autoSpaceDE/>
        <w:autoSpaceDN/>
        <w:bidi w:val="0"/>
        <w:adjustRightInd w:val="0"/>
        <w:snapToGrid w:val="0"/>
        <w:spacing w:before="0" w:after="0" w:line="360" w:lineRule="auto"/>
        <w:ind w:left="0" w:firstLine="0"/>
        <w:jc w:val="center"/>
        <w:textAlignment w:val="auto"/>
        <w:rPr>
          <w:rFonts w:ascii="宋体" w:hAnsi="宋体" w:eastAsia="宋体"/>
          <w:color w:val="auto"/>
          <w:highlight w:val="none"/>
        </w:rPr>
      </w:pPr>
      <w:bookmarkStart w:id="25" w:name="_Toc15504"/>
      <w:r>
        <w:rPr>
          <w:rFonts w:hint="eastAsia" w:ascii="宋体" w:hAnsi="宋体" w:eastAsia="宋体"/>
          <w:color w:val="auto"/>
          <w:highlight w:val="none"/>
        </w:rPr>
        <w:t>招标文件</w:t>
      </w:r>
      <w:bookmarkEnd w:id="25"/>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26" w:name="_Toc15490"/>
      <w:r>
        <w:rPr>
          <w:rFonts w:hint="eastAsia" w:ascii="宋体" w:hAnsi="宋体" w:eastAsia="宋体"/>
          <w:color w:val="auto"/>
          <w:sz w:val="21"/>
          <w:szCs w:val="21"/>
          <w:highlight w:val="none"/>
        </w:rPr>
        <w:t>8.招标文件的组成</w:t>
      </w:r>
      <w:bookmarkEnd w:id="26"/>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（1）投标邀请书；</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（2）投标资料表；</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（3）用户需求书；</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（4）投标人须知；</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（5）合同文本</w:t>
      </w:r>
      <w:r>
        <w:rPr>
          <w:rFonts w:hint="eastAsia" w:ascii="宋体" w:hAnsi="宋体" w:eastAsia="宋体"/>
          <w:color w:val="auto"/>
          <w:sz w:val="21"/>
          <w:szCs w:val="21"/>
          <w:highlight w:val="none"/>
          <w:lang w:eastAsia="zh-CN"/>
        </w:rPr>
        <w:t>参考格式</w:t>
      </w:r>
      <w:r>
        <w:rPr>
          <w:rFonts w:hint="eastAsia" w:ascii="宋体" w:hAnsi="宋体" w:eastAsia="宋体"/>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（6）投标文件</w:t>
      </w:r>
      <w:r>
        <w:rPr>
          <w:rFonts w:hint="eastAsia" w:ascii="宋体" w:hAnsi="宋体" w:eastAsia="宋体"/>
          <w:color w:val="auto"/>
          <w:sz w:val="21"/>
          <w:szCs w:val="21"/>
          <w:highlight w:val="none"/>
          <w:lang w:eastAsia="zh-CN"/>
        </w:rPr>
        <w:t>参考</w:t>
      </w:r>
      <w:r>
        <w:rPr>
          <w:rFonts w:hint="eastAsia" w:ascii="宋体" w:hAnsi="宋体" w:eastAsia="宋体"/>
          <w:color w:val="auto"/>
          <w:sz w:val="21"/>
          <w:szCs w:val="21"/>
          <w:highlight w:val="none"/>
        </w:rPr>
        <w:t>格式；</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（7）在招标过程中由采购代理机构发出的澄清更正文件等。</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27" w:name="_Toc7789"/>
      <w:r>
        <w:rPr>
          <w:rFonts w:hint="eastAsia" w:ascii="宋体" w:hAnsi="宋体" w:eastAsia="宋体"/>
          <w:color w:val="auto"/>
          <w:sz w:val="21"/>
          <w:szCs w:val="21"/>
          <w:highlight w:val="none"/>
        </w:rPr>
        <w:t>9.招标文件的澄清或修改</w:t>
      </w:r>
      <w:bookmarkEnd w:id="27"/>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采购人或者采购代理机构可以对已发出的招标文件、资格预审文件、投标邀请书进行必要的澄清或者修改。澄清或者修改的内容为招标文件、资格预审文件、投标邀请书的组成部分，</w:t>
      </w:r>
      <w:r>
        <w:rPr>
          <w:rFonts w:ascii="宋体" w:hAnsi="宋体" w:eastAsia="宋体"/>
          <w:color w:val="auto"/>
          <w:sz w:val="21"/>
          <w:szCs w:val="21"/>
          <w:highlight w:val="none"/>
        </w:rPr>
        <w:t>具有约束作用</w:t>
      </w:r>
      <w:r>
        <w:rPr>
          <w:rFonts w:hint="eastAsia" w:ascii="宋体" w:hAnsi="宋体" w:eastAsia="宋体"/>
          <w:color w:val="auto"/>
          <w:sz w:val="21"/>
          <w:szCs w:val="21"/>
          <w:highlight w:val="none"/>
        </w:rPr>
        <w:t>。</w:t>
      </w:r>
      <w:r>
        <w:rPr>
          <w:rFonts w:ascii="宋体" w:hAnsi="宋体" w:eastAsia="宋体"/>
          <w:color w:val="auto"/>
          <w:sz w:val="21"/>
          <w:szCs w:val="21"/>
          <w:highlight w:val="none"/>
        </w:rPr>
        <w:t>当招标文件的澄清</w:t>
      </w:r>
      <w:r>
        <w:rPr>
          <w:rFonts w:hint="eastAsia" w:ascii="宋体" w:hAnsi="宋体" w:eastAsia="宋体"/>
          <w:color w:val="auto"/>
          <w:sz w:val="21"/>
          <w:szCs w:val="21"/>
          <w:highlight w:val="none"/>
        </w:rPr>
        <w:t>或</w:t>
      </w:r>
      <w:r>
        <w:rPr>
          <w:rFonts w:ascii="宋体" w:hAnsi="宋体" w:eastAsia="宋体"/>
          <w:color w:val="auto"/>
          <w:sz w:val="21"/>
          <w:szCs w:val="21"/>
          <w:highlight w:val="none"/>
        </w:rPr>
        <w:t>修改等在同一内容的表述上不一致时，以最后发出的书面文件</w:t>
      </w:r>
      <w:r>
        <w:rPr>
          <w:rFonts w:hint="eastAsia" w:ascii="宋体" w:hAnsi="宋体" w:eastAsia="宋体"/>
          <w:color w:val="auto"/>
          <w:sz w:val="21"/>
          <w:szCs w:val="21"/>
          <w:highlight w:val="none"/>
        </w:rPr>
        <w:t>及公告</w:t>
      </w:r>
      <w:r>
        <w:rPr>
          <w:rFonts w:ascii="宋体" w:hAnsi="宋体" w:eastAsia="宋体"/>
          <w:color w:val="auto"/>
          <w:sz w:val="21"/>
          <w:szCs w:val="21"/>
          <w:highlight w:val="none"/>
        </w:rPr>
        <w:t>为准。</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pPr>
        <w:pStyle w:val="2"/>
        <w:ind w:left="0" w:leftChars="0" w:firstLine="0" w:firstLineChars="0"/>
        <w:rPr>
          <w:color w:val="auto"/>
          <w:highlight w:val="none"/>
        </w:rPr>
      </w:pPr>
    </w:p>
    <w:p>
      <w:pPr>
        <w:pStyle w:val="4"/>
        <w:keepNext/>
        <w:keepLines/>
        <w:pageBreakBefore w:val="0"/>
        <w:widowControl/>
        <w:numPr>
          <w:ilvl w:val="0"/>
          <w:numId w:val="2"/>
        </w:numPr>
        <w:kinsoku/>
        <w:wordWrap/>
        <w:overflowPunct/>
        <w:topLinePunct w:val="0"/>
        <w:autoSpaceDE/>
        <w:autoSpaceDN/>
        <w:bidi w:val="0"/>
        <w:adjustRightInd w:val="0"/>
        <w:snapToGrid w:val="0"/>
        <w:spacing w:before="0" w:after="0" w:line="360" w:lineRule="auto"/>
        <w:ind w:left="0" w:firstLine="0"/>
        <w:jc w:val="center"/>
        <w:textAlignment w:val="auto"/>
        <w:rPr>
          <w:rFonts w:ascii="宋体" w:hAnsi="宋体" w:eastAsia="宋体"/>
          <w:color w:val="auto"/>
          <w:highlight w:val="none"/>
        </w:rPr>
      </w:pPr>
      <w:bookmarkStart w:id="28" w:name="_Toc3992"/>
      <w:r>
        <w:rPr>
          <w:rFonts w:hint="eastAsia" w:ascii="宋体" w:hAnsi="宋体" w:eastAsia="宋体"/>
          <w:color w:val="auto"/>
          <w:highlight w:val="none"/>
        </w:rPr>
        <w:t>投标文件的编制</w:t>
      </w:r>
      <w:bookmarkEnd w:id="28"/>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29" w:name="_Toc708"/>
      <w:r>
        <w:rPr>
          <w:rFonts w:hint="eastAsia" w:ascii="宋体" w:hAnsi="宋体" w:eastAsia="宋体"/>
          <w:color w:val="auto"/>
          <w:sz w:val="21"/>
          <w:szCs w:val="21"/>
          <w:highlight w:val="none"/>
        </w:rPr>
        <w:t>10.投标文件的语言及度量衡单位</w:t>
      </w:r>
      <w:bookmarkEnd w:id="29"/>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提交的投标文件以及投标人与采购代理机构就有关投标的所有来往函件均应使用简体中文书写。投标人提交的支持资料和已印刷的文献可以用另一种语言，但相应内容应附有中文翻译本（中文译本应由翻译机构盖章或者翻译人员签名确认，否则按无效处理），在解释投标文件的修改内容时以中文翻译本为准。</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除非招标文件在技术规格中另有规定，投标人在投标文件中及其与采购代理机构和采购人所有往来文件中的所有</w:t>
      </w:r>
      <w:r>
        <w:rPr>
          <w:rFonts w:ascii="宋体" w:hAnsi="宋体" w:eastAsia="宋体"/>
          <w:color w:val="auto"/>
          <w:sz w:val="21"/>
          <w:szCs w:val="21"/>
          <w:highlight w:val="none"/>
        </w:rPr>
        <w:t>计量单位</w:t>
      </w:r>
      <w:r>
        <w:rPr>
          <w:rFonts w:hint="eastAsia" w:ascii="宋体" w:hAnsi="宋体" w:eastAsia="宋体"/>
          <w:color w:val="auto"/>
          <w:sz w:val="21"/>
          <w:szCs w:val="21"/>
          <w:highlight w:val="none"/>
        </w:rPr>
        <w:t>均应采用中华人民共和国法定计量单位</w:t>
      </w:r>
      <w:r>
        <w:rPr>
          <w:rFonts w:ascii="宋体" w:hAnsi="宋体" w:eastAsia="宋体"/>
          <w:color w:val="auto"/>
          <w:sz w:val="21"/>
          <w:szCs w:val="21"/>
          <w:highlight w:val="none"/>
        </w:rPr>
        <w:t>。</w:t>
      </w:r>
    </w:p>
    <w:p>
      <w:pPr>
        <w:pageBreakBefore w:val="0"/>
        <w:widowControl w:val="0"/>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30" w:name="_Toc29420"/>
      <w:bookmarkStart w:id="31" w:name="_Toc28866"/>
      <w:bookmarkStart w:id="32" w:name="_Toc303084256"/>
      <w:bookmarkStart w:id="33" w:name="_Toc307934854"/>
      <w:bookmarkStart w:id="34" w:name="_Toc382049103"/>
      <w:r>
        <w:rPr>
          <w:rFonts w:hint="eastAsia" w:ascii="宋体" w:hAnsi="宋体" w:eastAsia="宋体"/>
          <w:color w:val="auto"/>
          <w:sz w:val="21"/>
          <w:szCs w:val="21"/>
          <w:highlight w:val="none"/>
        </w:rPr>
        <w:t>11.</w:t>
      </w:r>
      <w:r>
        <w:rPr>
          <w:rFonts w:ascii="宋体" w:hAnsi="宋体" w:eastAsia="宋体"/>
          <w:color w:val="auto"/>
          <w:sz w:val="21"/>
          <w:szCs w:val="21"/>
          <w:highlight w:val="none"/>
        </w:rPr>
        <w:t>投标文件的组成</w:t>
      </w:r>
      <w:bookmarkEnd w:id="30"/>
      <w:bookmarkEnd w:id="31"/>
      <w:bookmarkEnd w:id="32"/>
      <w:bookmarkEnd w:id="33"/>
      <w:bookmarkEnd w:id="34"/>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包括但不限于招标文件附件格式中要求提供的表格。</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color w:val="auto"/>
          <w:highlight w:val="none"/>
        </w:rPr>
      </w:pPr>
      <w:r>
        <w:rPr>
          <w:rFonts w:hint="eastAsia" w:ascii="宋体" w:hAnsi="宋体" w:eastAsia="宋体"/>
          <w:color w:val="auto"/>
          <w:sz w:val="21"/>
          <w:szCs w:val="21"/>
          <w:highlight w:val="none"/>
        </w:rPr>
        <w:t>上述文件须按顺序装订成册，并编制投标文件目录。除上述文件资料外投标人还须按投标人须知的要求制作“开标文件”。“开标文件”作为投标文件的一部分，须单独密封。</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35" w:name="_Toc11356"/>
      <w:r>
        <w:rPr>
          <w:rFonts w:hint="eastAsia" w:ascii="宋体" w:hAnsi="宋体" w:eastAsia="宋体"/>
          <w:color w:val="auto"/>
          <w:sz w:val="21"/>
          <w:szCs w:val="21"/>
          <w:highlight w:val="none"/>
        </w:rPr>
        <w:t>12.投标文件编制</w:t>
      </w:r>
      <w:bookmarkEnd w:id="35"/>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bookmarkStart w:id="36" w:name="_Toc303084258"/>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投标人应按招标文件的规定以及</w:t>
      </w:r>
      <w:r>
        <w:rPr>
          <w:rFonts w:hint="eastAsia" w:ascii="宋体" w:hAnsi="宋体" w:eastAsia="宋体"/>
          <w:color w:val="auto"/>
          <w:sz w:val="21"/>
          <w:szCs w:val="21"/>
          <w:highlight w:val="none"/>
          <w:lang w:eastAsia="zh-CN"/>
        </w:rPr>
        <w:t>“第六部分</w:t>
      </w:r>
      <w:r>
        <w:rPr>
          <w:rFonts w:hint="eastAsia" w:ascii="宋体" w:hAnsi="宋体" w:eastAsia="宋体"/>
          <w:color w:val="auto"/>
          <w:sz w:val="21"/>
          <w:szCs w:val="21"/>
          <w:highlight w:val="none"/>
          <w:lang w:val="en-US" w:eastAsia="zh-CN"/>
        </w:rPr>
        <w:t xml:space="preserve"> 附件-投标文件格式</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rPr>
        <w:t>要求的内容和格式完整地填写</w:t>
      </w:r>
      <w:r>
        <w:rPr>
          <w:rFonts w:ascii="宋体" w:hAnsi="宋体" w:eastAsia="宋体"/>
          <w:color w:val="auto"/>
          <w:sz w:val="21"/>
          <w:szCs w:val="21"/>
          <w:highlight w:val="none"/>
        </w:rPr>
        <w:t>（表格可以按同样格式扩展）</w:t>
      </w:r>
      <w:r>
        <w:rPr>
          <w:rFonts w:hint="eastAsia" w:ascii="宋体" w:hAnsi="宋体" w:eastAsia="宋体"/>
          <w:color w:val="auto"/>
          <w:sz w:val="21"/>
          <w:szCs w:val="21"/>
          <w:highlight w:val="none"/>
        </w:rPr>
        <w:t>和提供资料，投标人必须对投标文件所提供的全部材料的真实性承担法律责任，并无条件接受采购人或采购代理机构及政府采购监督管理部门等对其中任何资料进行核实的要求。</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因投标文件编制存在歧义对投标人产生负面影响的，投标人自行承担后果。</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投标单位名称与投标人公章不一致，若投标单位名称已进行变更，应在投标文件中提供相应的证明材料并加盖公章，否则投标文件无效。</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有下列情形之一的，视为投标人串通投标，其投标无效：</w:t>
      </w:r>
    </w:p>
    <w:bookmarkEnd w:id="36"/>
    <w:p>
      <w:pPr>
        <w:pageBreakBefore w:val="0"/>
        <w:widowControl w:val="0"/>
        <w:kinsoku/>
        <w:wordWrap/>
        <w:topLinePunct w:val="0"/>
        <w:autoSpaceDE/>
        <w:autoSpaceDN/>
        <w:bidi w:val="0"/>
        <w:adjustRightInd/>
        <w:snapToGrid/>
        <w:spacing w:after="0" w:line="400" w:lineRule="exact"/>
        <w:ind w:firstLine="420" w:firstLineChars="200"/>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（一）不同投标人的投标文件由同一单位或者个人编制；</w:t>
      </w:r>
    </w:p>
    <w:p>
      <w:pPr>
        <w:pageBreakBefore w:val="0"/>
        <w:widowControl w:val="0"/>
        <w:kinsoku/>
        <w:wordWrap/>
        <w:topLinePunct w:val="0"/>
        <w:autoSpaceDE/>
        <w:autoSpaceDN/>
        <w:bidi w:val="0"/>
        <w:adjustRightInd/>
        <w:snapToGrid/>
        <w:spacing w:after="0" w:line="400" w:lineRule="exact"/>
        <w:ind w:firstLine="420" w:firstLineChars="200"/>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（二）不同投标人委托同一单位或者个人办理投标事宜；</w:t>
      </w:r>
    </w:p>
    <w:p>
      <w:pPr>
        <w:pageBreakBefore w:val="0"/>
        <w:widowControl w:val="0"/>
        <w:kinsoku/>
        <w:wordWrap/>
        <w:topLinePunct w:val="0"/>
        <w:autoSpaceDE/>
        <w:autoSpaceDN/>
        <w:bidi w:val="0"/>
        <w:adjustRightInd/>
        <w:snapToGrid/>
        <w:spacing w:after="0" w:line="400" w:lineRule="exact"/>
        <w:ind w:firstLine="420" w:firstLineChars="200"/>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（三）不同投标人的投标文件载明的项目管理成员或者联系人员为同一人；</w:t>
      </w:r>
    </w:p>
    <w:p>
      <w:pPr>
        <w:pageBreakBefore w:val="0"/>
        <w:widowControl w:val="0"/>
        <w:kinsoku/>
        <w:wordWrap/>
        <w:topLinePunct w:val="0"/>
        <w:autoSpaceDE/>
        <w:autoSpaceDN/>
        <w:bidi w:val="0"/>
        <w:adjustRightInd/>
        <w:snapToGrid/>
        <w:spacing w:after="0" w:line="400" w:lineRule="exact"/>
        <w:ind w:firstLine="420" w:firstLineChars="200"/>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（四）不同投标人的投标文件异常一致或者投标报价呈规律性差异；</w:t>
      </w:r>
    </w:p>
    <w:p>
      <w:pPr>
        <w:pageBreakBefore w:val="0"/>
        <w:widowControl w:val="0"/>
        <w:kinsoku/>
        <w:wordWrap/>
        <w:topLinePunct w:val="0"/>
        <w:autoSpaceDE/>
        <w:autoSpaceDN/>
        <w:bidi w:val="0"/>
        <w:adjustRightInd/>
        <w:snapToGrid/>
        <w:spacing w:after="0" w:line="400" w:lineRule="exact"/>
        <w:ind w:firstLine="420" w:firstLineChars="200"/>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（五）不同投标人的投标文件相互混装；</w:t>
      </w:r>
    </w:p>
    <w:p>
      <w:pPr>
        <w:pageBreakBefore w:val="0"/>
        <w:widowControl w:val="0"/>
        <w:kinsoku/>
        <w:wordWrap/>
        <w:topLinePunct w:val="0"/>
        <w:autoSpaceDE/>
        <w:autoSpaceDN/>
        <w:bidi w:val="0"/>
        <w:adjustRightInd/>
        <w:snapToGrid/>
        <w:spacing w:after="0" w:line="400" w:lineRule="exact"/>
        <w:ind w:firstLine="420" w:firstLineChars="200"/>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（六）不同投标人的投标保证金从同一单位或者个人的账户转出。</w:t>
      </w:r>
    </w:p>
    <w:p>
      <w:pPr>
        <w:pageBreakBefore w:val="0"/>
        <w:widowControl w:val="0"/>
        <w:kinsoku/>
        <w:wordWrap/>
        <w:topLinePunct w:val="0"/>
        <w:autoSpaceDE/>
        <w:autoSpaceDN/>
        <w:bidi w:val="0"/>
        <w:adjustRightInd/>
        <w:snapToGrid/>
        <w:spacing w:after="0" w:line="400" w:lineRule="exact"/>
        <w:jc w:val="both"/>
        <w:textAlignment w:val="auto"/>
        <w:rPr>
          <w:rFonts w:hint="eastAsia" w:eastAsia="微软雅黑"/>
          <w:color w:val="auto"/>
          <w:highlight w:val="none"/>
          <w:lang w:val="en-US" w:eastAsia="zh-CN"/>
        </w:rPr>
      </w:pPr>
      <w:r>
        <w:rPr>
          <w:rFonts w:hint="eastAsia"/>
          <w:color w:val="auto"/>
          <w:highlight w:val="none"/>
          <w:lang w:val="en-US" w:eastAsia="zh-CN"/>
        </w:rPr>
        <w:t xml:space="preserve"> </w:t>
      </w: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37" w:name="_Toc28034"/>
      <w:r>
        <w:rPr>
          <w:rFonts w:hint="eastAsia" w:ascii="宋体" w:hAnsi="宋体" w:eastAsia="宋体"/>
          <w:color w:val="auto"/>
          <w:sz w:val="21"/>
          <w:szCs w:val="21"/>
          <w:highlight w:val="none"/>
        </w:rPr>
        <w:t>13.投标报价说明</w:t>
      </w:r>
      <w:bookmarkEnd w:id="37"/>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本次招标，投标人应按用户需求中的要求进行投标报价，少报无效。</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投标人所提供的货物或服务均以人民币（或相关费率）报价。</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投标报价应包含完成本次招标所有服务内容的费用，包含各种税务费及合同实施过程中的全部费用和售后服务费等。</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中标后开出的所有发票必须与中标人的名称一致。</w:t>
      </w:r>
    </w:p>
    <w:p>
      <w:pPr>
        <w:pageBreakBefore w:val="0"/>
        <w:kinsoku/>
        <w:wordWrap/>
        <w:topLinePunct w:val="0"/>
        <w:autoSpaceDE/>
        <w:autoSpaceDN/>
        <w:bidi w:val="0"/>
        <w:spacing w:line="400" w:lineRule="exact"/>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38" w:name="_Toc34"/>
      <w:r>
        <w:rPr>
          <w:rFonts w:hint="eastAsia" w:ascii="宋体" w:hAnsi="宋体" w:eastAsia="宋体"/>
          <w:color w:val="auto"/>
          <w:sz w:val="21"/>
          <w:szCs w:val="21"/>
          <w:highlight w:val="none"/>
        </w:rPr>
        <w:t>14.投标人所提供的服务或货物的证明文件</w:t>
      </w:r>
      <w:bookmarkEnd w:id="38"/>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bookmarkStart w:id="39" w:name="_Hlt107925668"/>
      <w:bookmarkEnd w:id="39"/>
      <w:bookmarkStart w:id="40" w:name="_Hlt107925638"/>
      <w:bookmarkEnd w:id="40"/>
      <w:r>
        <w:rPr>
          <w:rFonts w:hint="eastAsia" w:ascii="宋体" w:hAnsi="宋体" w:eastAsia="宋体"/>
          <w:color w:val="auto"/>
          <w:sz w:val="21"/>
          <w:szCs w:val="21"/>
          <w:highlight w:val="none"/>
        </w:rPr>
        <w:t>证明服务或货物的文件，它可以是文字资料、图纸和数据包括但不限于：服务主要内容、标准、质量、人员资质、计划安排、报告审核等的详细说明；对招标文件第三部分《用户需求书》中规定的要求进行详细应答和说明。</w:t>
      </w:r>
    </w:p>
    <w:p>
      <w:pPr>
        <w:pStyle w:val="25"/>
        <w:pageBreakBefore w:val="0"/>
        <w:widowControl w:val="0"/>
        <w:kinsoku/>
        <w:wordWrap/>
        <w:topLinePunct w:val="0"/>
        <w:autoSpaceDE/>
        <w:autoSpaceDN/>
        <w:bidi w:val="0"/>
        <w:adjustRightInd/>
        <w:snapToGrid/>
        <w:spacing w:after="0" w:line="400" w:lineRule="exact"/>
        <w:ind w:left="425" w:firstLine="0" w:firstLineChars="0"/>
        <w:jc w:val="both"/>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41" w:name="_Toc10940"/>
      <w:r>
        <w:rPr>
          <w:rFonts w:hint="eastAsia" w:ascii="宋体" w:hAnsi="宋体" w:eastAsia="宋体"/>
          <w:color w:val="auto"/>
          <w:sz w:val="21"/>
          <w:szCs w:val="21"/>
          <w:highlight w:val="none"/>
        </w:rPr>
        <w:t>15.★投标有效期</w:t>
      </w:r>
      <w:bookmarkEnd w:id="41"/>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投标文件应根据投标人须知的规定在投标截止日后的90天内保持有效。</w:t>
      </w:r>
    </w:p>
    <w:p>
      <w:pPr>
        <w:pageBreakBefore w:val="0"/>
        <w:widowControl w:val="0"/>
        <w:kinsoku/>
        <w:wordWrap/>
        <w:topLinePunct w:val="0"/>
        <w:autoSpaceDE/>
        <w:autoSpaceDN/>
        <w:bidi w:val="0"/>
        <w:adjustRightInd/>
        <w:snapToGrid/>
        <w:spacing w:after="0" w:line="400" w:lineRule="exact"/>
        <w:ind w:left="567"/>
        <w:jc w:val="both"/>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42" w:name="_Toc5483"/>
      <w:r>
        <w:rPr>
          <w:rFonts w:hint="eastAsia" w:ascii="宋体" w:hAnsi="宋体" w:eastAsia="宋体"/>
          <w:color w:val="auto"/>
          <w:sz w:val="21"/>
          <w:szCs w:val="21"/>
          <w:highlight w:val="none"/>
        </w:rPr>
        <w:t>16.★投标保证金</w:t>
      </w:r>
      <w:bookmarkEnd w:id="42"/>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bookmarkStart w:id="43" w:name="_Ref179619405"/>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投标人应按投标资料表中规定数额及法律规定的时间按相应包号保证金金额要求一次性提交投标保证金，以多次汇入达到招标文件要求金额的投标保证金无效。</w:t>
      </w:r>
      <w:bookmarkEnd w:id="43"/>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投标保证金金额与招标文件要求金额保持一致（详见投标资料表）。</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投标保证金有效期与投标有效期保持一致。</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投标人应一次性缴交招标文件规定数额的投标保证金，投标人与交款人名称必须一致</w:t>
      </w:r>
      <w:r>
        <w:rPr>
          <w:rFonts w:hint="eastAsia" w:ascii="宋体" w:hAnsi="宋体" w:eastAsia="宋体"/>
          <w:color w:val="auto"/>
          <w:sz w:val="21"/>
          <w:szCs w:val="21"/>
          <w:highlight w:val="none"/>
          <w:lang w:eastAsia="zh-CN"/>
        </w:rPr>
        <w:t>（分公司投标的，其保证金可由上级公司缴纳并提供加盖公章的相关证明）</w:t>
      </w:r>
      <w:r>
        <w:rPr>
          <w:rFonts w:hint="eastAsia" w:ascii="宋体" w:hAnsi="宋体" w:eastAsia="宋体"/>
          <w:color w:val="auto"/>
          <w:sz w:val="21"/>
          <w:szCs w:val="21"/>
          <w:highlight w:val="none"/>
        </w:rPr>
        <w:t>，非投标人缴纳的投标保证金无效。</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采用银行转账、电汇方式提交的,付至采购代理机构指定账户上。 (详见投标人资料表)</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担保。是指由担保机构为供应商交纳投标保证金向采购人或者采购代理机构提供的保证担保。供应商在投标有效期内撤回投标文件或中标后不签订政府采购合同的，由担保机构按照担保函的约定履行支付投标保证金的责任。（投标担保格式详见附件《政府采购投标担保函》）</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采用《政府采购投标担保函》提交的，应符合下列规定：</w:t>
      </w:r>
    </w:p>
    <w:p>
      <w:pPr>
        <w:pageBreakBefore w:val="0"/>
        <w:kinsoku/>
        <w:wordWrap/>
        <w:topLinePunct w:val="0"/>
        <w:autoSpaceDE/>
        <w:autoSpaceDN/>
        <w:bidi w:val="0"/>
        <w:spacing w:after="0" w:line="400" w:lineRule="exact"/>
        <w:ind w:firstLine="422" w:firstLineChars="200"/>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①投标担保函有效期应与投标有效期一致；</w:t>
      </w:r>
    </w:p>
    <w:p>
      <w:pPr>
        <w:pageBreakBefore w:val="0"/>
        <w:kinsoku/>
        <w:wordWrap/>
        <w:topLinePunct w:val="0"/>
        <w:autoSpaceDE/>
        <w:autoSpaceDN/>
        <w:bidi w:val="0"/>
        <w:spacing w:after="0" w:line="400" w:lineRule="exact"/>
        <w:ind w:firstLine="422" w:firstLineChars="200"/>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②投标担保金额应与本项目的投标保证金一致；</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保证金不接受现金方式（包括以存现方式）提交，未按要求提交投标保证金的将导致废标。</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未中标的投标人的保证金在采购结果公示发出后5个工作日内退还，中标投标人的保证金在采购合同签订后5个工作日内退还。</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为方便退还未中标的投保人的保证金，投标人应制作《投标保证金汇入情况说明》随开标文件一并递交。</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有下列情形之一的，投标保证金将不予退还：</w:t>
      </w:r>
    </w:p>
    <w:p>
      <w:pPr>
        <w:pageBreakBefore w:val="0"/>
        <w:kinsoku/>
        <w:wordWrap/>
        <w:topLinePunct w:val="0"/>
        <w:autoSpaceDE/>
        <w:autoSpaceDN/>
        <w:bidi w:val="0"/>
        <w:spacing w:after="0" w:line="400" w:lineRule="exact"/>
        <w:ind w:firstLine="422" w:firstLineChars="200"/>
        <w:textAlignment w:val="auto"/>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①投标人在招标文件中规定的投标有效期内撤销其投标。</w:t>
      </w:r>
    </w:p>
    <w:p>
      <w:pPr>
        <w:pageBreakBefore w:val="0"/>
        <w:kinsoku/>
        <w:wordWrap/>
        <w:topLinePunct w:val="0"/>
        <w:autoSpaceDE/>
        <w:autoSpaceDN/>
        <w:bidi w:val="0"/>
        <w:spacing w:after="0" w:line="400" w:lineRule="exact"/>
        <w:ind w:firstLine="422" w:firstLineChars="200"/>
        <w:textAlignment w:val="auto"/>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②法律法规规定不予退还投标保证金的其它情形。</w:t>
      </w:r>
    </w:p>
    <w:p>
      <w:pPr>
        <w:pStyle w:val="2"/>
        <w:rPr>
          <w:rFonts w:hint="eastAsia"/>
          <w:color w:val="auto"/>
          <w:highlight w:val="none"/>
        </w:rPr>
      </w:pPr>
    </w:p>
    <w:p>
      <w:pPr>
        <w:pStyle w:val="4"/>
        <w:keepNext/>
        <w:keepLines/>
        <w:pageBreakBefore w:val="0"/>
        <w:widowControl/>
        <w:numPr>
          <w:ilvl w:val="0"/>
          <w:numId w:val="2"/>
        </w:numPr>
        <w:kinsoku/>
        <w:wordWrap/>
        <w:overflowPunct/>
        <w:topLinePunct w:val="0"/>
        <w:autoSpaceDE/>
        <w:autoSpaceDN/>
        <w:bidi w:val="0"/>
        <w:adjustRightInd w:val="0"/>
        <w:snapToGrid w:val="0"/>
        <w:spacing w:before="0" w:after="0" w:line="360" w:lineRule="auto"/>
        <w:ind w:left="0" w:firstLine="0"/>
        <w:jc w:val="center"/>
        <w:textAlignment w:val="auto"/>
        <w:rPr>
          <w:rFonts w:ascii="宋体" w:hAnsi="宋体" w:eastAsia="宋体"/>
          <w:color w:val="auto"/>
          <w:highlight w:val="none"/>
        </w:rPr>
      </w:pPr>
      <w:bookmarkStart w:id="44" w:name="_Toc8216"/>
      <w:r>
        <w:rPr>
          <w:rFonts w:hint="eastAsia" w:ascii="宋体" w:hAnsi="宋体" w:eastAsia="宋体"/>
          <w:color w:val="auto"/>
          <w:highlight w:val="none"/>
        </w:rPr>
        <w:t>投标文件的递交</w:t>
      </w:r>
      <w:bookmarkEnd w:id="44"/>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45" w:name="_Toc24997"/>
      <w:bookmarkStart w:id="46" w:name="_Toc303084264"/>
      <w:bookmarkStart w:id="47" w:name="_Toc16724"/>
      <w:bookmarkStart w:id="48" w:name="_Toc382049111"/>
      <w:r>
        <w:rPr>
          <w:rFonts w:hint="eastAsia" w:ascii="宋体" w:hAnsi="宋体" w:eastAsia="宋体"/>
          <w:color w:val="auto"/>
          <w:sz w:val="21"/>
          <w:szCs w:val="21"/>
          <w:highlight w:val="none"/>
        </w:rPr>
        <w:t>17.</w:t>
      </w:r>
      <w:r>
        <w:rPr>
          <w:rFonts w:ascii="宋体" w:hAnsi="宋体" w:eastAsia="宋体"/>
          <w:color w:val="auto"/>
          <w:sz w:val="21"/>
          <w:szCs w:val="21"/>
          <w:highlight w:val="none"/>
        </w:rPr>
        <w:t>投标文件的</w:t>
      </w:r>
      <w:r>
        <w:rPr>
          <w:rFonts w:hint="eastAsia" w:ascii="宋体" w:hAnsi="宋体" w:eastAsia="宋体"/>
          <w:color w:val="auto"/>
          <w:sz w:val="21"/>
          <w:szCs w:val="21"/>
          <w:highlight w:val="none"/>
        </w:rPr>
        <w:t>装订，签署，</w:t>
      </w:r>
      <w:r>
        <w:rPr>
          <w:rFonts w:ascii="宋体" w:hAnsi="宋体" w:eastAsia="宋体"/>
          <w:color w:val="auto"/>
          <w:sz w:val="21"/>
          <w:szCs w:val="21"/>
          <w:highlight w:val="none"/>
        </w:rPr>
        <w:t>密封和标记</w:t>
      </w:r>
      <w:bookmarkEnd w:id="45"/>
      <w:bookmarkEnd w:id="46"/>
      <w:bookmarkEnd w:id="47"/>
      <w:bookmarkEnd w:id="48"/>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为方便评标委员会对投标文件进行评审</w:t>
      </w:r>
      <w:r>
        <w:rPr>
          <w:rFonts w:ascii="宋体" w:hAnsi="宋体" w:eastAsia="宋体"/>
          <w:color w:val="auto"/>
          <w:sz w:val="21"/>
          <w:szCs w:val="21"/>
          <w:highlight w:val="none"/>
        </w:rPr>
        <w:t>，</w:t>
      </w:r>
      <w:r>
        <w:rPr>
          <w:rFonts w:hint="eastAsia" w:ascii="宋体" w:hAnsi="宋体" w:eastAsia="宋体"/>
          <w:color w:val="auto"/>
          <w:sz w:val="21"/>
          <w:szCs w:val="21"/>
          <w:highlight w:val="none"/>
          <w:lang w:eastAsia="zh-CN"/>
        </w:rPr>
        <w:t>建议投标人对投标文件进行装订，</w:t>
      </w:r>
      <w:r>
        <w:rPr>
          <w:rFonts w:ascii="宋体" w:hAnsi="宋体" w:eastAsia="宋体"/>
          <w:color w:val="auto"/>
          <w:sz w:val="21"/>
          <w:szCs w:val="21"/>
          <w:highlight w:val="none"/>
        </w:rPr>
        <w:t>对未经装订的投标文件可能发生的文件缺</w:t>
      </w:r>
      <w:r>
        <w:rPr>
          <w:rFonts w:hint="eastAsia" w:ascii="宋体" w:hAnsi="宋体" w:eastAsia="宋体"/>
          <w:color w:val="auto"/>
          <w:sz w:val="21"/>
          <w:szCs w:val="21"/>
          <w:highlight w:val="none"/>
        </w:rPr>
        <w:t>损</w:t>
      </w:r>
      <w:r>
        <w:rPr>
          <w:rFonts w:ascii="宋体" w:hAnsi="宋体" w:eastAsia="宋体"/>
          <w:color w:val="auto"/>
          <w:sz w:val="21"/>
          <w:szCs w:val="21"/>
          <w:highlight w:val="none"/>
        </w:rPr>
        <w:t>，由此产生的后果由投标人承担。</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ascii="宋体" w:hAnsi="宋体" w:eastAsia="宋体"/>
          <w:color w:val="auto"/>
          <w:sz w:val="21"/>
          <w:szCs w:val="21"/>
          <w:highlight w:val="none"/>
        </w:rPr>
        <w:t>投标文件</w:t>
      </w:r>
      <w:r>
        <w:rPr>
          <w:rFonts w:hint="eastAsia" w:ascii="宋体" w:hAnsi="宋体" w:eastAsia="宋体"/>
          <w:color w:val="auto"/>
          <w:sz w:val="21"/>
          <w:szCs w:val="21"/>
          <w:highlight w:val="none"/>
        </w:rPr>
        <w:t>正本均须用不褪色墨水书写或打印。投标文件的副本可采用投标文件的正本复印件，每套</w:t>
      </w:r>
      <w:r>
        <w:rPr>
          <w:rFonts w:ascii="宋体" w:hAnsi="宋体" w:eastAsia="宋体"/>
          <w:color w:val="auto"/>
          <w:sz w:val="21"/>
          <w:szCs w:val="21"/>
          <w:highlight w:val="none"/>
        </w:rPr>
        <w:t>投标文件</w:t>
      </w:r>
      <w:r>
        <w:rPr>
          <w:rFonts w:hint="eastAsia" w:ascii="宋体" w:hAnsi="宋体" w:eastAsia="宋体"/>
          <w:color w:val="auto"/>
          <w:sz w:val="21"/>
          <w:szCs w:val="21"/>
          <w:highlight w:val="none"/>
        </w:rPr>
        <w:t>应当标</w:t>
      </w:r>
      <w:r>
        <w:rPr>
          <w:rFonts w:ascii="宋体" w:hAnsi="宋体" w:eastAsia="宋体"/>
          <w:color w:val="auto"/>
          <w:sz w:val="21"/>
          <w:szCs w:val="21"/>
          <w:highlight w:val="none"/>
        </w:rPr>
        <w:t>明“正本”</w:t>
      </w:r>
      <w:r>
        <w:rPr>
          <w:rFonts w:hint="eastAsia" w:ascii="宋体" w:hAnsi="宋体" w:eastAsia="宋体"/>
          <w:color w:val="auto"/>
          <w:sz w:val="21"/>
          <w:szCs w:val="21"/>
          <w:highlight w:val="none"/>
        </w:rPr>
        <w:t>、</w:t>
      </w:r>
      <w:r>
        <w:rPr>
          <w:rFonts w:ascii="宋体" w:hAnsi="宋体" w:eastAsia="宋体"/>
          <w:color w:val="auto"/>
          <w:sz w:val="21"/>
          <w:szCs w:val="21"/>
          <w:highlight w:val="none"/>
        </w:rPr>
        <w:t>“副本”</w:t>
      </w:r>
      <w:r>
        <w:rPr>
          <w:rFonts w:hint="eastAsia" w:ascii="宋体" w:hAnsi="宋体" w:eastAsia="宋体"/>
          <w:color w:val="auto"/>
          <w:sz w:val="21"/>
          <w:szCs w:val="21"/>
          <w:highlight w:val="none"/>
        </w:rPr>
        <w:t>的字样</w:t>
      </w:r>
      <w:r>
        <w:rPr>
          <w:rFonts w:ascii="宋体" w:hAnsi="宋体" w:eastAsia="宋体"/>
          <w:color w:val="auto"/>
          <w:sz w:val="21"/>
          <w:szCs w:val="21"/>
          <w:highlight w:val="none"/>
        </w:rPr>
        <w:t>。</w:t>
      </w:r>
      <w:r>
        <w:rPr>
          <w:rFonts w:hint="eastAsia" w:ascii="宋体" w:hAnsi="宋体" w:eastAsia="宋体"/>
          <w:color w:val="auto"/>
          <w:sz w:val="21"/>
          <w:szCs w:val="21"/>
          <w:highlight w:val="none"/>
        </w:rPr>
        <w:t>投标文件的【正本】及所有【副本】的封面及骑缝均须加盖投标人公章（文件每页盖章等同于盖骑缝章）。若</w:t>
      </w:r>
      <w:r>
        <w:rPr>
          <w:rFonts w:ascii="宋体" w:hAnsi="宋体" w:eastAsia="宋体"/>
          <w:color w:val="auto"/>
          <w:sz w:val="21"/>
          <w:szCs w:val="21"/>
          <w:highlight w:val="none"/>
        </w:rPr>
        <w:t>正本</w:t>
      </w:r>
      <w:r>
        <w:rPr>
          <w:rFonts w:hint="eastAsia" w:ascii="宋体" w:hAnsi="宋体" w:eastAsia="宋体"/>
          <w:color w:val="auto"/>
          <w:sz w:val="21"/>
          <w:szCs w:val="21"/>
          <w:highlight w:val="none"/>
        </w:rPr>
        <w:t>与</w:t>
      </w:r>
      <w:r>
        <w:rPr>
          <w:rFonts w:ascii="宋体" w:hAnsi="宋体" w:eastAsia="宋体"/>
          <w:color w:val="auto"/>
          <w:sz w:val="21"/>
          <w:szCs w:val="21"/>
          <w:highlight w:val="none"/>
        </w:rPr>
        <w:t>副本</w:t>
      </w:r>
      <w:r>
        <w:rPr>
          <w:rFonts w:hint="eastAsia" w:ascii="宋体" w:hAnsi="宋体" w:eastAsia="宋体"/>
          <w:color w:val="auto"/>
          <w:sz w:val="21"/>
          <w:szCs w:val="21"/>
          <w:highlight w:val="none"/>
        </w:rPr>
        <w:t>不符，以</w:t>
      </w:r>
      <w:r>
        <w:rPr>
          <w:rFonts w:ascii="宋体" w:hAnsi="宋体" w:eastAsia="宋体"/>
          <w:color w:val="auto"/>
          <w:sz w:val="21"/>
          <w:szCs w:val="21"/>
          <w:highlight w:val="none"/>
        </w:rPr>
        <w:t>正本为准。</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联合体投标文件的【正本】及【副本】的封面及骑缝均须加盖所有联合体组成成员的公章。（文件每页盖章等同于盖骑缝章）如联合体协议中有明确分工说明除外</w:t>
      </w:r>
      <w:r>
        <w:rPr>
          <w:rFonts w:hint="eastAsia" w:ascii="宋体" w:hAnsi="宋体" w:eastAsia="宋体"/>
          <w:color w:val="auto"/>
          <w:sz w:val="21"/>
          <w:szCs w:val="21"/>
          <w:highlight w:val="none"/>
          <w:lang w:eastAsia="zh-CN"/>
        </w:rPr>
        <w:t>。</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建议</w:t>
      </w:r>
      <w:r>
        <w:rPr>
          <w:rFonts w:hint="eastAsia" w:ascii="宋体" w:hAnsi="宋体" w:eastAsia="宋体"/>
          <w:color w:val="auto"/>
          <w:sz w:val="21"/>
          <w:szCs w:val="21"/>
          <w:highlight w:val="none"/>
        </w:rPr>
        <w:t>投标人将投标文件正本和所有的副本分开密封装在单独的信封中，且在信封上标明“正本”“副本”字样。然后再将所有信封封装在一个外层信封中</w:t>
      </w:r>
      <w:r>
        <w:rPr>
          <w:rFonts w:hint="eastAsia" w:ascii="宋体" w:hAnsi="宋体" w:eastAsia="宋体"/>
          <w:color w:val="auto"/>
          <w:sz w:val="21"/>
          <w:szCs w:val="21"/>
          <w:highlight w:val="none"/>
          <w:lang w:eastAsia="zh-CN"/>
        </w:rPr>
        <w:t>（“开标文件”除外）</w:t>
      </w:r>
      <w:r>
        <w:rPr>
          <w:rFonts w:hint="eastAsia" w:ascii="宋体" w:hAnsi="宋体" w:eastAsia="宋体"/>
          <w:color w:val="auto"/>
          <w:sz w:val="21"/>
          <w:szCs w:val="21"/>
          <w:highlight w:val="none"/>
        </w:rPr>
        <w:t>。电子文件与正本密封包装，随正本提交。</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ascii="宋体" w:hAnsi="宋体" w:eastAsia="宋体"/>
          <w:color w:val="auto"/>
          <w:sz w:val="21"/>
          <w:szCs w:val="21"/>
          <w:highlight w:val="none"/>
        </w:rPr>
        <w:t>电子文件内容包括：由投标人自行制作的与正本文件一致的所有文件。电子文件</w:t>
      </w:r>
      <w:r>
        <w:rPr>
          <w:rFonts w:hint="eastAsia" w:ascii="宋体" w:hAnsi="宋体" w:eastAsia="宋体"/>
          <w:color w:val="auto"/>
          <w:sz w:val="21"/>
          <w:szCs w:val="21"/>
          <w:highlight w:val="none"/>
        </w:rPr>
        <w:t>由</w:t>
      </w:r>
      <w:r>
        <w:rPr>
          <w:rFonts w:ascii="宋体" w:hAnsi="宋体" w:eastAsia="宋体"/>
          <w:color w:val="auto"/>
          <w:sz w:val="21"/>
          <w:szCs w:val="21"/>
          <w:highlight w:val="none"/>
        </w:rPr>
        <w:t>光盘</w:t>
      </w:r>
      <w:r>
        <w:rPr>
          <w:rFonts w:hint="eastAsia" w:ascii="宋体" w:hAnsi="宋体" w:eastAsia="宋体"/>
          <w:color w:val="auto"/>
          <w:sz w:val="21"/>
          <w:szCs w:val="21"/>
          <w:highlight w:val="none"/>
        </w:rPr>
        <w:t>或U盘</w:t>
      </w:r>
      <w:r>
        <w:rPr>
          <w:rFonts w:ascii="宋体" w:hAnsi="宋体" w:eastAsia="宋体"/>
          <w:color w:val="auto"/>
          <w:sz w:val="21"/>
          <w:szCs w:val="21"/>
          <w:highlight w:val="none"/>
        </w:rPr>
        <w:t>储存</w:t>
      </w:r>
      <w:r>
        <w:rPr>
          <w:rFonts w:hint="eastAsia" w:ascii="宋体" w:hAnsi="宋体" w:eastAsia="宋体"/>
          <w:color w:val="auto"/>
          <w:sz w:val="21"/>
          <w:szCs w:val="21"/>
          <w:highlight w:val="none"/>
          <w:lang w:eastAsia="zh-CN"/>
        </w:rPr>
        <w:t>（须含盖章版PDF投标文件和WORD版投标文件各一版，文字采用WORD文档，计算表格采用 EXCEL文档）</w:t>
      </w:r>
      <w:r>
        <w:rPr>
          <w:rFonts w:hint="eastAsia" w:ascii="宋体" w:hAnsi="宋体" w:eastAsia="宋体"/>
          <w:color w:val="auto"/>
          <w:sz w:val="21"/>
          <w:szCs w:val="21"/>
          <w:highlight w:val="none"/>
        </w:rPr>
        <w:t>，并注明投标人名称及项目名称、采购项目编号，随投标文件一同密封提交。</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ascii="宋体" w:hAnsi="宋体" w:eastAsia="宋体"/>
          <w:color w:val="auto"/>
          <w:sz w:val="21"/>
          <w:szCs w:val="21"/>
          <w:highlight w:val="none"/>
        </w:rPr>
        <w:t>除投标人对错误处修改外，全套投标文件应无涂改或行间插字和增删。如有修改，修改处</w:t>
      </w:r>
      <w:r>
        <w:rPr>
          <w:rFonts w:hint="eastAsia" w:ascii="宋体" w:hAnsi="宋体" w:eastAsia="宋体"/>
          <w:color w:val="auto"/>
          <w:sz w:val="21"/>
          <w:szCs w:val="21"/>
          <w:highlight w:val="none"/>
        </w:rPr>
        <w:t>须由法定代表人或其正式授权代表在旁边签字及盖章</w:t>
      </w:r>
      <w:r>
        <w:rPr>
          <w:rFonts w:ascii="宋体" w:hAnsi="宋体" w:eastAsia="宋体"/>
          <w:color w:val="auto"/>
          <w:sz w:val="21"/>
          <w:szCs w:val="21"/>
          <w:highlight w:val="none"/>
        </w:rPr>
        <w:t>。</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应将开标一览表、法人代表证明书、法定代表人授权书（法人投标无需提交授权书）、投标保证金汇入情况说明（加盖公章）和投标保证金支付凭证银行汇款底单（复印件加盖公章）单独密封提交，并在信封上标明“开标文件”字样。“开标文件”份数及签章等要求与投标文件正本相同（1份）。若投标人采用担保函形式的，则无需密封在“开标文件”内，投标人需在开标时间截止前将原件提交至代理机构。</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供应商未提交</w:t>
      </w:r>
      <w:r>
        <w:rPr>
          <w:rFonts w:hint="eastAsia" w:ascii="宋体" w:hAnsi="宋体" w:eastAsia="宋体"/>
          <w:color w:val="auto"/>
          <w:sz w:val="21"/>
          <w:szCs w:val="21"/>
          <w:highlight w:val="none"/>
        </w:rPr>
        <w:t>“开标文件”</w:t>
      </w:r>
      <w:r>
        <w:rPr>
          <w:rFonts w:hint="eastAsia" w:ascii="宋体" w:hAnsi="宋体" w:eastAsia="宋体"/>
          <w:color w:val="auto"/>
          <w:sz w:val="21"/>
          <w:szCs w:val="21"/>
          <w:highlight w:val="none"/>
          <w:lang w:eastAsia="zh-CN"/>
        </w:rPr>
        <w:t>或</w:t>
      </w:r>
      <w:r>
        <w:rPr>
          <w:rFonts w:hint="eastAsia" w:ascii="宋体" w:hAnsi="宋体" w:eastAsia="宋体"/>
          <w:color w:val="auto"/>
          <w:sz w:val="21"/>
          <w:szCs w:val="21"/>
          <w:highlight w:val="none"/>
        </w:rPr>
        <w:t>“开标文件”</w:t>
      </w:r>
      <w:r>
        <w:rPr>
          <w:rFonts w:hint="eastAsia" w:ascii="宋体" w:hAnsi="宋体" w:eastAsia="宋体"/>
          <w:color w:val="auto"/>
          <w:sz w:val="21"/>
          <w:szCs w:val="21"/>
          <w:highlight w:val="none"/>
          <w:lang w:eastAsia="zh-CN"/>
        </w:rPr>
        <w:t>中无“开标一览表”的，报价以投标文件正本为准。</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所有的信封均应注明： </w:t>
      </w:r>
    </w:p>
    <w:p>
      <w:pPr>
        <w:pageBreakBefore w:val="0"/>
        <w:widowControl w:val="0"/>
        <w:numPr>
          <w:ilvl w:val="0"/>
          <w:numId w:val="4"/>
        </w:numPr>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收件人：三方诚信招标有限公司东莞分公司</w:t>
      </w:r>
    </w:p>
    <w:p>
      <w:pPr>
        <w:pageBreakBefore w:val="0"/>
        <w:widowControl w:val="0"/>
        <w:numPr>
          <w:ilvl w:val="0"/>
          <w:numId w:val="4"/>
        </w:numPr>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投标单位名称：</w:t>
      </w:r>
    </w:p>
    <w:p>
      <w:pPr>
        <w:pageBreakBefore w:val="0"/>
        <w:widowControl w:val="0"/>
        <w:numPr>
          <w:ilvl w:val="0"/>
          <w:numId w:val="4"/>
        </w:numPr>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项目名称：</w:t>
      </w:r>
    </w:p>
    <w:p>
      <w:pPr>
        <w:pageBreakBefore w:val="0"/>
        <w:widowControl w:val="0"/>
        <w:numPr>
          <w:ilvl w:val="0"/>
          <w:numId w:val="4"/>
        </w:numPr>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采购项目编号：</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采购代理机构将拒绝接收出现以下情况的投标文件：</w:t>
      </w:r>
    </w:p>
    <w:p>
      <w:pPr>
        <w:pageBreakBefore w:val="0"/>
        <w:widowControl w:val="0"/>
        <w:numPr>
          <w:ilvl w:val="0"/>
          <w:numId w:val="5"/>
        </w:numPr>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采用透明包装进行密封或未进行密封的投标文件；</w:t>
      </w:r>
    </w:p>
    <w:p>
      <w:pPr>
        <w:pageBreakBefore w:val="0"/>
        <w:widowControl w:val="0"/>
        <w:numPr>
          <w:ilvl w:val="0"/>
          <w:numId w:val="5"/>
        </w:numPr>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密封破损导致投标文件内容直接或间接泄露的投标文件；</w:t>
      </w:r>
    </w:p>
    <w:p>
      <w:pPr>
        <w:pageBreakBefore w:val="0"/>
        <w:widowControl w:val="0"/>
        <w:numPr>
          <w:ilvl w:val="0"/>
          <w:numId w:val="5"/>
        </w:numPr>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密封信封上项目编号错误的投标文件；</w:t>
      </w:r>
    </w:p>
    <w:p>
      <w:pPr>
        <w:pageBreakBefore w:val="0"/>
        <w:widowControl w:val="0"/>
        <w:numPr>
          <w:ilvl w:val="0"/>
          <w:numId w:val="5"/>
        </w:numPr>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val="en-US" w:eastAsia="zh-CN"/>
        </w:rPr>
        <w:t>未在规定时间内领购文件的投标人的投标文件；</w:t>
      </w:r>
    </w:p>
    <w:p>
      <w:pPr>
        <w:pageBreakBefore w:val="0"/>
        <w:widowControl w:val="0"/>
        <w:numPr>
          <w:ilvl w:val="0"/>
          <w:numId w:val="5"/>
        </w:numPr>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项目名称出现严重歧义或未标注所投项目信息导致无法分辨所投项目为本项目的投标文件；</w:t>
      </w:r>
    </w:p>
    <w:p>
      <w:pPr>
        <w:pageBreakBefore w:val="0"/>
        <w:widowControl w:val="0"/>
        <w:numPr>
          <w:ilvl w:val="0"/>
          <w:numId w:val="5"/>
        </w:numPr>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采用传真、电传的投标文件；</w:t>
      </w:r>
    </w:p>
    <w:p>
      <w:pPr>
        <w:pageBreakBefore w:val="0"/>
        <w:widowControl w:val="0"/>
        <w:numPr>
          <w:ilvl w:val="0"/>
          <w:numId w:val="5"/>
        </w:numPr>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招标文件规定的其他情形。</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采购代理机构对所有投标文件的误投或提前启封概不负责。</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投标人同时参加几个包投标时必须按招标文件要求按包号分别制作投标文件，分别密封递交。</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递交的投标文件中所提供的通讯方式应保持联络畅通，因联系不上而导致的所有后果由投标人自行承担。</w:t>
      </w:r>
    </w:p>
    <w:p>
      <w:pPr>
        <w:pageBreakBefore w:val="0"/>
        <w:kinsoku/>
        <w:wordWrap/>
        <w:topLinePunct w:val="0"/>
        <w:autoSpaceDE/>
        <w:autoSpaceDN/>
        <w:bidi w:val="0"/>
        <w:spacing w:line="400" w:lineRule="exact"/>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49" w:name="_Toc30088"/>
      <w:r>
        <w:rPr>
          <w:rFonts w:hint="eastAsia" w:ascii="宋体" w:hAnsi="宋体" w:eastAsia="宋体"/>
          <w:color w:val="auto"/>
          <w:sz w:val="21"/>
          <w:szCs w:val="21"/>
          <w:highlight w:val="none"/>
        </w:rPr>
        <w:t>18.迟交的投标文件</w:t>
      </w:r>
      <w:bookmarkEnd w:id="49"/>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投标人在投标截止时间之后提交的投标文件，采购代理机构将拒绝接收</w:t>
      </w:r>
      <w:r>
        <w:rPr>
          <w:rFonts w:ascii="宋体" w:hAnsi="宋体" w:eastAsia="宋体"/>
          <w:color w:val="auto"/>
          <w:sz w:val="21"/>
          <w:szCs w:val="21"/>
          <w:highlight w:val="none"/>
        </w:rPr>
        <w:t>。</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有违反其他法律规定情形的，采购代理机构将拒绝接收。</w:t>
      </w:r>
    </w:p>
    <w:p>
      <w:pPr>
        <w:pageBreakBefore w:val="0"/>
        <w:kinsoku/>
        <w:wordWrap/>
        <w:topLinePunct w:val="0"/>
        <w:autoSpaceDE/>
        <w:autoSpaceDN/>
        <w:bidi w:val="0"/>
        <w:spacing w:line="400" w:lineRule="exact"/>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50" w:name="_Toc15912"/>
      <w:r>
        <w:rPr>
          <w:rFonts w:hint="eastAsia" w:ascii="宋体" w:hAnsi="宋体" w:eastAsia="宋体"/>
          <w:color w:val="auto"/>
          <w:sz w:val="21"/>
          <w:szCs w:val="21"/>
          <w:highlight w:val="none"/>
        </w:rPr>
        <w:t>19.投标样品</w:t>
      </w:r>
      <w:r>
        <w:rPr>
          <w:rFonts w:hint="eastAsia" w:ascii="宋体" w:hAnsi="宋体" w:eastAsia="宋体"/>
          <w:color w:val="auto"/>
          <w:sz w:val="21"/>
          <w:szCs w:val="21"/>
          <w:highlight w:val="none"/>
          <w:lang w:eastAsia="zh-CN"/>
        </w:rPr>
        <w:t>、投标演示</w:t>
      </w:r>
      <w:r>
        <w:rPr>
          <w:rFonts w:hint="eastAsia" w:ascii="宋体" w:hAnsi="宋体" w:eastAsia="宋体"/>
          <w:color w:val="auto"/>
          <w:sz w:val="21"/>
          <w:szCs w:val="21"/>
          <w:highlight w:val="none"/>
        </w:rPr>
        <w:t>（如</w:t>
      </w:r>
      <w:r>
        <w:rPr>
          <w:rFonts w:hint="eastAsia" w:ascii="宋体" w:hAnsi="宋体" w:eastAsia="宋体"/>
          <w:color w:val="auto"/>
          <w:sz w:val="21"/>
          <w:szCs w:val="21"/>
          <w:highlight w:val="none"/>
          <w:lang w:eastAsia="zh-CN"/>
        </w:rPr>
        <w:t>有要求</w:t>
      </w:r>
      <w:r>
        <w:rPr>
          <w:rFonts w:hint="eastAsia" w:ascii="宋体" w:hAnsi="宋体" w:eastAsia="宋体"/>
          <w:color w:val="auto"/>
          <w:sz w:val="21"/>
          <w:szCs w:val="21"/>
          <w:highlight w:val="none"/>
        </w:rPr>
        <w:t>）</w:t>
      </w:r>
      <w:bookmarkEnd w:id="50"/>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如有必要，采购代理机构可以要求投标人提供本服务项目涉及的部分设备或产品样品，投标人在投标时应提交《样品清单》。</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为方便评标，投标人在提供样品时，应在所提供的样品表面显著位置标注投标人的名称、包号、样品名称、招标文件规定的服务或货物编号。</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样品作为投标文件的一部分，除非另有说明，中标单位的样品将作为履约验收标准的参考不再退还，未中标单位须在中标公告发布后五个工作日内，前往采购代理机构领取投标样品，逾期不领，采购代理机构将不承担样品的保管责任，由此引发的样品丢失、毁损，采购代理机构不予负责。</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如有要求投标人视频演示环节，投标人将需要演示的内容以视频录制展示的形式完成，视频用U盘储存，并作为投标文件的组成部分，标注投标人的名称、项目名称、项目编号、项目包号加以盖章并密封提交。演示全程由采购人或采购单位操作完成。</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如有要求投标人现场演示环节，演示现场提供投影仪及电脑，所需的网络环境及设备全部由投标人自行解决。除非另有说明，投标人不得派超过2名工作人员进场演示。演示过程不设置问答环节。</w:t>
      </w:r>
    </w:p>
    <w:p>
      <w:pPr>
        <w:pageBreakBefore w:val="0"/>
        <w:kinsoku/>
        <w:topLinePunct w:val="0"/>
        <w:autoSpaceDE/>
        <w:autoSpaceDN/>
        <w:bidi w:val="0"/>
        <w:spacing w:line="360" w:lineRule="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51" w:name="_Toc303084265"/>
      <w:bookmarkStart w:id="52" w:name="_Toc9777"/>
      <w:bookmarkStart w:id="53" w:name="_Toc382049112"/>
      <w:bookmarkStart w:id="54" w:name="_Toc28098"/>
      <w:r>
        <w:rPr>
          <w:rFonts w:hint="eastAsia" w:ascii="宋体" w:hAnsi="宋体" w:eastAsia="宋体"/>
          <w:color w:val="auto"/>
          <w:sz w:val="21"/>
          <w:szCs w:val="21"/>
          <w:highlight w:val="none"/>
        </w:rPr>
        <w:t>20.投标截止期</w:t>
      </w:r>
      <w:bookmarkEnd w:id="51"/>
      <w:bookmarkEnd w:id="52"/>
      <w:bookmarkEnd w:id="53"/>
      <w:bookmarkEnd w:id="54"/>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投标人应在招标文件规定的截止日期和时间内，将投标文件送达到指定地点。</w:t>
      </w:r>
    </w:p>
    <w:p>
      <w:pPr>
        <w:pageBreakBefore w:val="0"/>
        <w:kinsoku/>
        <w:wordWrap/>
        <w:topLinePunct w:val="0"/>
        <w:autoSpaceDE/>
        <w:autoSpaceDN/>
        <w:bidi w:val="0"/>
        <w:spacing w:line="400" w:lineRule="exact"/>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55" w:name="_Toc22260"/>
      <w:r>
        <w:rPr>
          <w:rFonts w:hint="eastAsia" w:ascii="宋体" w:hAnsi="宋体" w:eastAsia="宋体"/>
          <w:color w:val="auto"/>
          <w:sz w:val="21"/>
          <w:szCs w:val="21"/>
          <w:highlight w:val="none"/>
        </w:rPr>
        <w:t>21.投标文件的补充、修改与撤回</w:t>
      </w:r>
      <w:bookmarkEnd w:id="55"/>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投标人在提交投标文件截止时间前，可以对所提交的投标文件进行补充、修改或撤回，并以纸质版形式通知采购代理机构。在提交投标文件截止时间之后，投标人不得对其投标文件做出任何的补充和修改。</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投标人对投标文件的补充、修改的内容应当按招标文件要求的签署、盖章、密封后，作为投标文件的组成部分。并按照招标文件规定密封和标记的要求提交，并在投标文件密封袋上标明“补充、修改”字样。</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投标文件一经递交不予退还。</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在提交投标文件截止时间至投标有效期满之前，投标人不得撤回其投标，否则其投标保证金将不予退还。</w:t>
      </w:r>
    </w:p>
    <w:p>
      <w:pPr>
        <w:pStyle w:val="2"/>
        <w:pageBreakBefore w:val="0"/>
        <w:kinsoku/>
        <w:topLinePunct w:val="0"/>
        <w:autoSpaceDE/>
        <w:autoSpaceDN/>
        <w:bidi w:val="0"/>
        <w:spacing w:line="360" w:lineRule="auto"/>
        <w:rPr>
          <w:color w:val="auto"/>
          <w:highlight w:val="none"/>
        </w:rPr>
      </w:pPr>
    </w:p>
    <w:p>
      <w:pPr>
        <w:pStyle w:val="4"/>
        <w:keepNext/>
        <w:keepLines/>
        <w:pageBreakBefore w:val="0"/>
        <w:widowControl/>
        <w:numPr>
          <w:ilvl w:val="0"/>
          <w:numId w:val="2"/>
        </w:numPr>
        <w:kinsoku/>
        <w:wordWrap/>
        <w:overflowPunct/>
        <w:topLinePunct w:val="0"/>
        <w:autoSpaceDE/>
        <w:autoSpaceDN/>
        <w:bidi w:val="0"/>
        <w:adjustRightInd w:val="0"/>
        <w:snapToGrid w:val="0"/>
        <w:spacing w:before="0" w:after="0" w:line="360" w:lineRule="auto"/>
        <w:ind w:left="0" w:firstLine="0"/>
        <w:jc w:val="center"/>
        <w:textAlignment w:val="auto"/>
        <w:rPr>
          <w:rFonts w:ascii="宋体" w:hAnsi="宋体" w:eastAsia="宋体"/>
          <w:color w:val="auto"/>
          <w:highlight w:val="none"/>
        </w:rPr>
      </w:pPr>
      <w:bookmarkStart w:id="56" w:name="_Toc13835"/>
      <w:r>
        <w:rPr>
          <w:rFonts w:hint="eastAsia" w:ascii="宋体" w:hAnsi="宋体" w:eastAsia="宋体"/>
          <w:color w:val="auto"/>
          <w:highlight w:val="none"/>
        </w:rPr>
        <w:t>开标与评标</w:t>
      </w:r>
      <w:bookmarkEnd w:id="56"/>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57" w:name="_Toc174"/>
      <w:r>
        <w:rPr>
          <w:rFonts w:hint="eastAsia" w:ascii="宋体" w:hAnsi="宋体" w:eastAsia="宋体"/>
          <w:color w:val="auto"/>
          <w:sz w:val="21"/>
          <w:szCs w:val="21"/>
          <w:highlight w:val="none"/>
        </w:rPr>
        <w:t>22.开标</w:t>
      </w:r>
      <w:bookmarkEnd w:id="57"/>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采购代理机构按</w:t>
      </w:r>
      <w:r>
        <w:rPr>
          <w:rFonts w:ascii="宋体" w:hAnsi="宋体" w:eastAsia="宋体"/>
          <w:color w:val="auto"/>
          <w:sz w:val="21"/>
          <w:szCs w:val="21"/>
          <w:highlight w:val="none"/>
        </w:rPr>
        <w:t>本</w:t>
      </w:r>
      <w:r>
        <w:rPr>
          <w:rFonts w:hint="eastAsia" w:ascii="宋体" w:hAnsi="宋体" w:eastAsia="宋体"/>
          <w:color w:val="auto"/>
          <w:sz w:val="21"/>
          <w:szCs w:val="21"/>
          <w:highlight w:val="none"/>
        </w:rPr>
        <w:t>招标文件</w:t>
      </w:r>
      <w:r>
        <w:rPr>
          <w:rFonts w:ascii="宋体" w:hAnsi="宋体" w:eastAsia="宋体"/>
          <w:color w:val="auto"/>
          <w:sz w:val="21"/>
          <w:szCs w:val="21"/>
          <w:highlight w:val="none"/>
        </w:rPr>
        <w:t>所规定的时间和地点公开开标，并邀请所有投标人</w:t>
      </w:r>
      <w:r>
        <w:rPr>
          <w:rFonts w:hint="eastAsia" w:ascii="宋体" w:hAnsi="宋体" w:eastAsia="宋体"/>
          <w:color w:val="auto"/>
          <w:sz w:val="21"/>
          <w:szCs w:val="21"/>
          <w:highlight w:val="none"/>
        </w:rPr>
        <w:t>代表</w:t>
      </w:r>
      <w:r>
        <w:rPr>
          <w:rFonts w:ascii="宋体" w:hAnsi="宋体" w:eastAsia="宋体"/>
          <w:color w:val="auto"/>
          <w:sz w:val="21"/>
          <w:szCs w:val="21"/>
          <w:highlight w:val="none"/>
        </w:rPr>
        <w:t>参加。</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ascii="宋体" w:hAnsi="宋体" w:eastAsia="宋体"/>
          <w:color w:val="auto"/>
          <w:sz w:val="21"/>
          <w:szCs w:val="21"/>
          <w:highlight w:val="none"/>
        </w:rPr>
        <w:t>开标程序：</w:t>
      </w:r>
    </w:p>
    <w:p>
      <w:pPr>
        <w:pageBreakBefore w:val="0"/>
        <w:widowControl w:val="0"/>
        <w:numPr>
          <w:ilvl w:val="2"/>
          <w:numId w:val="3"/>
        </w:numPr>
        <w:tabs>
          <w:tab w:val="left" w:pos="567"/>
          <w:tab w:val="clear" w:pos="794"/>
        </w:tabs>
        <w:kinsoku/>
        <w:wordWrap/>
        <w:topLinePunct w:val="0"/>
        <w:autoSpaceDE/>
        <w:autoSpaceDN/>
        <w:bidi w:val="0"/>
        <w:adjustRightInd/>
        <w:snapToGrid/>
        <w:spacing w:after="0" w:line="400" w:lineRule="exact"/>
        <w:ind w:left="794" w:hanging="794"/>
        <w:jc w:val="both"/>
        <w:textAlignment w:val="auto"/>
        <w:rPr>
          <w:rFonts w:ascii="宋体" w:hAnsi="宋体" w:eastAsia="宋体"/>
          <w:color w:val="auto"/>
          <w:sz w:val="21"/>
          <w:szCs w:val="21"/>
          <w:highlight w:val="none"/>
        </w:rPr>
      </w:pPr>
      <w:r>
        <w:rPr>
          <w:rFonts w:ascii="宋体" w:hAnsi="宋体" w:eastAsia="宋体"/>
          <w:color w:val="auto"/>
          <w:sz w:val="21"/>
          <w:szCs w:val="21"/>
          <w:highlight w:val="none"/>
        </w:rPr>
        <w:t>开标</w:t>
      </w:r>
      <w:r>
        <w:rPr>
          <w:rFonts w:hint="eastAsia" w:ascii="宋体" w:hAnsi="宋体" w:eastAsia="宋体"/>
          <w:color w:val="auto"/>
          <w:sz w:val="21"/>
          <w:szCs w:val="21"/>
          <w:highlight w:val="none"/>
        </w:rPr>
        <w:t>会</w:t>
      </w:r>
      <w:r>
        <w:rPr>
          <w:rFonts w:ascii="宋体" w:hAnsi="宋体" w:eastAsia="宋体"/>
          <w:color w:val="auto"/>
          <w:sz w:val="21"/>
          <w:szCs w:val="21"/>
          <w:highlight w:val="none"/>
        </w:rPr>
        <w:t>由</w:t>
      </w:r>
      <w:r>
        <w:rPr>
          <w:rFonts w:hint="eastAsia" w:ascii="宋体" w:hAnsi="宋体" w:eastAsia="宋体"/>
          <w:color w:val="auto"/>
          <w:sz w:val="21"/>
          <w:szCs w:val="21"/>
          <w:highlight w:val="none"/>
        </w:rPr>
        <w:t>采购代理机构</w:t>
      </w:r>
      <w:r>
        <w:rPr>
          <w:rFonts w:ascii="宋体" w:hAnsi="宋体" w:eastAsia="宋体"/>
          <w:color w:val="auto"/>
          <w:sz w:val="21"/>
          <w:szCs w:val="21"/>
          <w:highlight w:val="none"/>
        </w:rPr>
        <w:t>主持</w:t>
      </w:r>
      <w:r>
        <w:rPr>
          <w:rFonts w:hint="eastAsia" w:ascii="宋体" w:hAnsi="宋体" w:eastAsia="宋体"/>
          <w:color w:val="auto"/>
          <w:sz w:val="21"/>
          <w:szCs w:val="21"/>
          <w:highlight w:val="none"/>
        </w:rPr>
        <w:t>，投标人的法定代表人或其授权代表携带有效身份证明准时参加开标会并签名报到。</w:t>
      </w:r>
    </w:p>
    <w:p>
      <w:pPr>
        <w:pageBreakBefore w:val="0"/>
        <w:widowControl w:val="0"/>
        <w:numPr>
          <w:ilvl w:val="2"/>
          <w:numId w:val="3"/>
        </w:numPr>
        <w:tabs>
          <w:tab w:val="left" w:pos="567"/>
          <w:tab w:val="clear" w:pos="794"/>
        </w:tabs>
        <w:kinsoku/>
        <w:wordWrap/>
        <w:topLinePunct w:val="0"/>
        <w:autoSpaceDE/>
        <w:autoSpaceDN/>
        <w:bidi w:val="0"/>
        <w:adjustRightInd/>
        <w:snapToGrid/>
        <w:spacing w:after="0" w:line="400" w:lineRule="exact"/>
        <w:ind w:left="794" w:hanging="794"/>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开标时，由投标人或者其推选的代表检查投标文件的密封情况；经确认无误后，由采购人或者采购代理机构工作人员当众拆封，宣布投标人名称、投标价格和招标文件规定的需要宣布的其他内容；</w:t>
      </w:r>
    </w:p>
    <w:p>
      <w:pPr>
        <w:pageBreakBefore w:val="0"/>
        <w:widowControl w:val="0"/>
        <w:numPr>
          <w:ilvl w:val="2"/>
          <w:numId w:val="3"/>
        </w:numPr>
        <w:tabs>
          <w:tab w:val="left" w:pos="567"/>
          <w:tab w:val="clear" w:pos="794"/>
        </w:tabs>
        <w:kinsoku/>
        <w:wordWrap/>
        <w:topLinePunct w:val="0"/>
        <w:autoSpaceDE/>
        <w:autoSpaceDN/>
        <w:bidi w:val="0"/>
        <w:adjustRightInd/>
        <w:snapToGrid/>
        <w:spacing w:after="0" w:line="400" w:lineRule="exact"/>
        <w:ind w:left="794" w:hanging="794"/>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投标人代表对开标过程和开标记录有异议，以及认为采购人、采购代理机构相关工作人员有需要回避的情形的，应当场提出询问或者回避申请。开标现场未提出异议的视为认同开标结果。</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投标人未参加开标的，视同认可开标结果。</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合格投标人不足3家的，不得开标；</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开标过程应当由采购人或者采购代理机构负责记录，由参加开标的各投标人代表和相关工作人员签字确认。</w:t>
      </w:r>
    </w:p>
    <w:p>
      <w:pPr>
        <w:pageBreakBefore w:val="0"/>
        <w:widowControl w:val="0"/>
        <w:kinsoku/>
        <w:wordWrap/>
        <w:topLinePunct w:val="0"/>
        <w:autoSpaceDE/>
        <w:autoSpaceDN/>
        <w:bidi w:val="0"/>
        <w:adjustRightInd/>
        <w:snapToGrid/>
        <w:spacing w:after="0" w:line="400" w:lineRule="exact"/>
        <w:ind w:left="567"/>
        <w:jc w:val="both"/>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58" w:name="_Toc318"/>
      <w:r>
        <w:rPr>
          <w:rFonts w:hint="eastAsia" w:ascii="宋体" w:hAnsi="宋体" w:eastAsia="宋体"/>
          <w:color w:val="auto"/>
          <w:sz w:val="21"/>
          <w:szCs w:val="21"/>
          <w:highlight w:val="none"/>
        </w:rPr>
        <w:t>23.评标委员会及评标方法</w:t>
      </w:r>
      <w:bookmarkEnd w:id="58"/>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评标委员会根据招标项目的特点进行组建，并负责评标工作。</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评审方法：本次招标的评审方法采用综合评分法。</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招标</w:t>
      </w:r>
      <w:r>
        <w:rPr>
          <w:rFonts w:hint="eastAsia" w:ascii="宋体" w:hAnsi="宋体" w:eastAsia="宋体"/>
          <w:color w:val="auto"/>
          <w:sz w:val="21"/>
          <w:szCs w:val="21"/>
          <w:highlight w:val="none"/>
        </w:rPr>
        <w:t>文件中要求</w:t>
      </w:r>
      <w:r>
        <w:rPr>
          <w:rFonts w:hint="eastAsia" w:ascii="宋体" w:hAnsi="宋体" w:eastAsia="宋体"/>
          <w:color w:val="auto"/>
          <w:sz w:val="21"/>
          <w:szCs w:val="21"/>
          <w:highlight w:val="none"/>
          <w:lang w:eastAsia="zh-CN"/>
        </w:rPr>
        <w:t>投标人</w:t>
      </w:r>
      <w:r>
        <w:rPr>
          <w:rFonts w:hint="eastAsia" w:ascii="宋体" w:hAnsi="宋体" w:eastAsia="宋体"/>
          <w:color w:val="auto"/>
          <w:sz w:val="21"/>
          <w:szCs w:val="21"/>
          <w:highlight w:val="none"/>
        </w:rPr>
        <w:t>提供的相关资质证书证明材料因国家政策变动导致新旧证书名称不一致，旧证书未取消且新旧证书具有同等效力的，</w:t>
      </w:r>
      <w:r>
        <w:rPr>
          <w:rFonts w:hint="eastAsia" w:ascii="宋体" w:hAnsi="宋体" w:eastAsia="宋体"/>
          <w:color w:val="auto"/>
          <w:sz w:val="21"/>
          <w:szCs w:val="21"/>
          <w:highlight w:val="none"/>
          <w:lang w:eastAsia="zh-CN"/>
        </w:rPr>
        <w:t>投标人</w:t>
      </w:r>
      <w:r>
        <w:rPr>
          <w:rFonts w:hint="eastAsia" w:ascii="宋体" w:hAnsi="宋体" w:eastAsia="宋体"/>
          <w:color w:val="auto"/>
          <w:sz w:val="21"/>
          <w:szCs w:val="21"/>
          <w:highlight w:val="none"/>
        </w:rPr>
        <w:t>提供新证书与提供在有效期内的旧证书给予同等认可。</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定标原则：在</w:t>
      </w:r>
      <w:r>
        <w:rPr>
          <w:rFonts w:ascii="宋体" w:hAnsi="宋体" w:eastAsia="宋体"/>
          <w:color w:val="auto"/>
          <w:sz w:val="21"/>
          <w:szCs w:val="21"/>
          <w:highlight w:val="none"/>
        </w:rPr>
        <w:t>满足招标文件</w:t>
      </w:r>
      <w:r>
        <w:rPr>
          <w:rFonts w:hint="eastAsia" w:ascii="宋体" w:hAnsi="宋体" w:eastAsia="宋体"/>
          <w:color w:val="auto"/>
          <w:sz w:val="21"/>
          <w:szCs w:val="21"/>
          <w:highlight w:val="none"/>
        </w:rPr>
        <w:t>实质性要求前提下，按照招标文件规定的各项评价因素进行量化打分，以评标总得分最高的投标人作为中标候选人或中标人。</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评标委员会对投标文件的评审内容，分为商务评议、技术评议和价格评议。评审流程包括符合性检查、澄清问题、比较与评价、推荐中标候选人或确定中标人、编写评标报告等步骤。</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在评标期间，评标委员会可要求投标人对其投标文件进行澄清，但不得寻求、提供或允许对投标价格等实质性内容做任何更改。有关澄清的要求和答复均应以纸质版形式提交，如投标人拒绝评标委员会要求对其投标文件进行澄清的要求，所造成的后果由投标人自行承担。</w:t>
      </w:r>
    </w:p>
    <w:p>
      <w:pPr>
        <w:pageBreakBefore w:val="0"/>
        <w:kinsoku/>
        <w:wordWrap/>
        <w:topLinePunct w:val="0"/>
        <w:autoSpaceDE/>
        <w:autoSpaceDN/>
        <w:bidi w:val="0"/>
        <w:spacing w:line="400" w:lineRule="exact"/>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59" w:name="_Toc21911"/>
      <w:r>
        <w:rPr>
          <w:rFonts w:hint="eastAsia" w:ascii="宋体" w:hAnsi="宋体" w:eastAsia="宋体"/>
          <w:color w:val="auto"/>
          <w:sz w:val="21"/>
          <w:szCs w:val="21"/>
          <w:highlight w:val="none"/>
        </w:rPr>
        <w:t>24.评审原则及评标过程的保密</w:t>
      </w:r>
      <w:bookmarkEnd w:id="59"/>
    </w:p>
    <w:p>
      <w:pPr>
        <w:pStyle w:val="25"/>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评审的基本原则：评标委员会将依据《中华人民共和国政府采购法》及国家和地方政府有关法规的规定，遵循“</w:t>
      </w:r>
      <w:r>
        <w:rPr>
          <w:rFonts w:hint="eastAsia" w:ascii="宋体" w:hAnsi="宋体" w:eastAsia="宋体"/>
          <w:color w:val="auto"/>
          <w:sz w:val="21"/>
          <w:szCs w:val="21"/>
          <w:highlight w:val="none"/>
          <w:lang w:eastAsia="zh-CN"/>
        </w:rPr>
        <w:t>客观、公正、审慎</w:t>
      </w:r>
      <w:r>
        <w:rPr>
          <w:rFonts w:hint="eastAsia" w:ascii="宋体" w:hAnsi="宋体" w:eastAsia="宋体"/>
          <w:color w:val="auto"/>
          <w:sz w:val="21"/>
          <w:szCs w:val="21"/>
          <w:highlight w:val="none"/>
        </w:rPr>
        <w:t>”的原则进行评审工作。</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从公开开标到签订合同，凡与审查、澄清、评审和投标有关的资料以及定标意见相关的事项，均不得向投标人及与评标无关的其他人透露。</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任何单位和个人不得非法干预、影响评标的过程和结果。</w:t>
      </w:r>
    </w:p>
    <w:p>
      <w:pPr>
        <w:pageBreakBefore w:val="0"/>
        <w:kinsoku/>
        <w:wordWrap/>
        <w:topLinePunct w:val="0"/>
        <w:autoSpaceDE/>
        <w:autoSpaceDN/>
        <w:bidi w:val="0"/>
        <w:spacing w:line="400" w:lineRule="exact"/>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60" w:name="_Toc12318"/>
      <w:r>
        <w:rPr>
          <w:rFonts w:hint="eastAsia" w:ascii="宋体" w:hAnsi="宋体" w:eastAsia="宋体"/>
          <w:color w:val="auto"/>
          <w:sz w:val="21"/>
          <w:szCs w:val="21"/>
          <w:highlight w:val="none"/>
        </w:rPr>
        <w:t>25.投标文件的初审</w:t>
      </w:r>
      <w:bookmarkEnd w:id="60"/>
    </w:p>
    <w:p>
      <w:pPr>
        <w:pStyle w:val="25"/>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b/>
          <w:color w:val="auto"/>
          <w:sz w:val="21"/>
          <w:szCs w:val="21"/>
          <w:highlight w:val="none"/>
        </w:rPr>
      </w:pPr>
      <w:r>
        <w:rPr>
          <w:rFonts w:hint="eastAsia" w:ascii="宋体" w:hAnsi="宋体" w:eastAsia="宋体"/>
          <w:color w:val="auto"/>
          <w:sz w:val="21"/>
          <w:szCs w:val="21"/>
          <w:highlight w:val="none"/>
        </w:rPr>
        <w:t>开标结束后，采购人或者采购代理机构将依法对投标人的资格进行审查。资格审查时，投标人存在不符合资格性检查所要求事项情况的，投标无效。未通过资格审查的投标人不进入</w:t>
      </w:r>
      <w:r>
        <w:rPr>
          <w:rFonts w:hint="eastAsia" w:ascii="宋体" w:hAnsi="宋体" w:eastAsia="宋体"/>
          <w:color w:val="auto"/>
          <w:sz w:val="21"/>
          <w:szCs w:val="21"/>
          <w:highlight w:val="none"/>
          <w:lang w:eastAsia="zh-CN"/>
        </w:rPr>
        <w:t>符合性审查</w:t>
      </w:r>
      <w:r>
        <w:rPr>
          <w:rFonts w:hint="eastAsia" w:ascii="宋体" w:hAnsi="宋体" w:eastAsia="宋体"/>
          <w:color w:val="auto"/>
          <w:sz w:val="21"/>
          <w:szCs w:val="21"/>
          <w:highlight w:val="none"/>
        </w:rPr>
        <w:t>的评审</w:t>
      </w:r>
      <w:r>
        <w:rPr>
          <w:rFonts w:hint="eastAsia" w:ascii="宋体" w:hAnsi="宋体" w:eastAsia="宋体"/>
          <w:color w:val="auto"/>
          <w:sz w:val="21"/>
          <w:szCs w:val="21"/>
          <w:highlight w:val="none"/>
          <w:lang w:eastAsia="zh-CN"/>
        </w:rPr>
        <w:t>，</w:t>
      </w:r>
      <w:r>
        <w:rPr>
          <w:rFonts w:hint="eastAsia" w:ascii="宋体" w:hAnsi="宋体" w:eastAsia="宋体"/>
          <w:b/>
          <w:color w:val="auto"/>
          <w:sz w:val="21"/>
          <w:szCs w:val="21"/>
          <w:highlight w:val="none"/>
        </w:rPr>
        <w:t>资格性检查</w:t>
      </w:r>
      <w:r>
        <w:rPr>
          <w:rFonts w:hint="eastAsia" w:ascii="宋体" w:hAnsi="宋体" w:eastAsia="宋体"/>
          <w:b/>
          <w:color w:val="auto"/>
          <w:sz w:val="21"/>
          <w:szCs w:val="21"/>
          <w:highlight w:val="none"/>
          <w:lang w:eastAsia="zh-CN"/>
        </w:rPr>
        <w:t>中发现下列情形之一的，其投标作</w:t>
      </w:r>
      <w:r>
        <w:rPr>
          <w:rFonts w:hint="eastAsia" w:ascii="宋体" w:hAnsi="宋体" w:eastAsia="宋体"/>
          <w:b/>
          <w:color w:val="auto"/>
          <w:sz w:val="21"/>
          <w:szCs w:val="21"/>
          <w:highlight w:val="none"/>
          <w:lang w:val="en-US" w:eastAsia="zh-CN"/>
        </w:rPr>
        <w:t>无效</w:t>
      </w:r>
      <w:r>
        <w:rPr>
          <w:rFonts w:hint="eastAsia" w:ascii="宋体" w:hAnsi="宋体" w:eastAsia="宋体"/>
          <w:b/>
          <w:color w:val="auto"/>
          <w:sz w:val="21"/>
          <w:szCs w:val="21"/>
          <w:highlight w:val="none"/>
          <w:lang w:eastAsia="zh-CN"/>
        </w:rPr>
        <w:t>处理：</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1) 资格瑕疵</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包括但不限于：①资格证明文件未提供或不符合招标文件要求的；</w:t>
      </w:r>
      <w:r>
        <w:rPr>
          <w:rFonts w:ascii="宋体" w:hAnsi="宋体" w:eastAsia="宋体"/>
          <w:color w:val="auto"/>
          <w:sz w:val="21"/>
          <w:szCs w:val="21"/>
          <w:highlight w:val="none"/>
        </w:rPr>
        <w:t xml:space="preserve"> </w:t>
      </w:r>
      <w:r>
        <w:rPr>
          <w:rFonts w:hint="eastAsia" w:ascii="宋体" w:hAnsi="宋体" w:eastAsia="宋体"/>
          <w:color w:val="auto"/>
          <w:sz w:val="21"/>
          <w:szCs w:val="21"/>
          <w:highlight w:val="none"/>
        </w:rPr>
        <w:t>②资格证明文件有效期过期的；③《营业执照》复印件（加盖公章）或《事业单位法人证书》复印件（加盖公章）或其他主体证书复印件（加盖公章）未提供或有效期过期的</w:t>
      </w:r>
      <w:r>
        <w:rPr>
          <w:rFonts w:hint="eastAsia" w:ascii="宋体" w:hAnsi="宋体" w:eastAsia="宋体"/>
          <w:color w:val="auto"/>
          <w:sz w:val="21"/>
          <w:szCs w:val="21"/>
          <w:highlight w:val="none"/>
          <w:lang w:eastAsia="zh-CN"/>
        </w:rPr>
        <w:t>；④提供的资质材料模糊不清导致无法辨认的。⑤投标人名称与投标文件公章不一致的。</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2) 投标保证金瑕疵</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包括但不限于：①投标人未按招标文件要求提交投标保证金；②提交方式、提交时间、提交金额不符合招标文件要求；③投标保证金有效期不符合招标文件要求。</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评标委员会将对符合资格的投标人的投标文件进行符合性审查，以确定其是否满足招标文件的实质性要求。投标人不得通过修正或撤消不合要求的偏离或保留从而使其投标成为实质上响应的投标。</w:t>
      </w:r>
      <w:r>
        <w:rPr>
          <w:rFonts w:hint="eastAsia" w:ascii="宋体" w:hAnsi="宋体" w:eastAsia="宋体"/>
          <w:color w:val="auto"/>
          <w:sz w:val="21"/>
          <w:szCs w:val="21"/>
          <w:highlight w:val="none"/>
          <w:lang w:eastAsia="zh-CN"/>
        </w:rPr>
        <w:t>符合性审查过程</w:t>
      </w:r>
      <w:r>
        <w:rPr>
          <w:rFonts w:hint="eastAsia" w:ascii="宋体" w:hAnsi="宋体" w:eastAsia="宋体"/>
          <w:color w:val="auto"/>
          <w:sz w:val="21"/>
          <w:szCs w:val="21"/>
          <w:highlight w:val="none"/>
        </w:rPr>
        <w:t>中，</w:t>
      </w:r>
      <w:r>
        <w:rPr>
          <w:rFonts w:hint="eastAsia" w:ascii="宋体" w:hAnsi="宋体" w:eastAsia="宋体"/>
          <w:b/>
          <w:color w:val="auto"/>
          <w:sz w:val="21"/>
          <w:szCs w:val="21"/>
          <w:highlight w:val="none"/>
        </w:rPr>
        <w:t>发现下列情况之一的，其投标将作</w:t>
      </w:r>
      <w:r>
        <w:rPr>
          <w:rFonts w:hint="eastAsia" w:ascii="宋体" w:hAnsi="宋体" w:eastAsia="宋体"/>
          <w:b/>
          <w:color w:val="auto"/>
          <w:sz w:val="21"/>
          <w:szCs w:val="21"/>
          <w:highlight w:val="none"/>
          <w:lang w:val="en-US" w:eastAsia="zh-CN"/>
        </w:rPr>
        <w:t>无效</w:t>
      </w:r>
      <w:r>
        <w:rPr>
          <w:rFonts w:hint="eastAsia" w:ascii="宋体" w:hAnsi="宋体" w:eastAsia="宋体"/>
          <w:b/>
          <w:color w:val="auto"/>
          <w:sz w:val="21"/>
          <w:szCs w:val="21"/>
          <w:highlight w:val="none"/>
        </w:rPr>
        <w:t>处理</w:t>
      </w:r>
      <w:r>
        <w:rPr>
          <w:rFonts w:hint="eastAsia" w:ascii="宋体" w:hAnsi="宋体" w:eastAsia="宋体"/>
          <w:color w:val="auto"/>
          <w:sz w:val="21"/>
          <w:szCs w:val="21"/>
          <w:highlight w:val="none"/>
        </w:rPr>
        <w:t>：</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b/>
          <w:color w:val="auto"/>
          <w:sz w:val="21"/>
          <w:szCs w:val="21"/>
          <w:highlight w:val="none"/>
        </w:rPr>
        <w:t>1) 投标文件的有效性、完整性瑕疵</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包括但不限于：①投标文件的数量、制作不符合要求</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rPr>
        <w:t>投标文件内容与采购内容不符的</w:t>
      </w:r>
      <w:r>
        <w:rPr>
          <w:rFonts w:hint="eastAsia" w:ascii="宋体" w:hAnsi="宋体" w:eastAsia="宋体"/>
          <w:color w:val="auto"/>
          <w:sz w:val="21"/>
          <w:szCs w:val="21"/>
          <w:highlight w:val="none"/>
          <w:lang w:eastAsia="zh-CN"/>
        </w:rPr>
        <w:t>（包括但不限于</w:t>
      </w:r>
      <w:r>
        <w:rPr>
          <w:rFonts w:hint="eastAsia" w:ascii="宋体" w:hAnsi="宋体" w:eastAsia="宋体"/>
          <w:color w:val="auto"/>
          <w:sz w:val="21"/>
          <w:szCs w:val="21"/>
          <w:highlight w:val="none"/>
        </w:rPr>
        <w:t>投标文件项目采购项目编号错误，投标文件项目名称错误导致无法</w:t>
      </w:r>
      <w:r>
        <w:rPr>
          <w:rFonts w:hint="eastAsia" w:ascii="宋体" w:hAnsi="宋体" w:eastAsia="宋体"/>
          <w:color w:val="auto"/>
          <w:sz w:val="21"/>
          <w:szCs w:val="21"/>
          <w:highlight w:val="none"/>
          <w:lang w:val="en-US" w:eastAsia="zh-CN"/>
        </w:rPr>
        <w:t>分辨</w:t>
      </w:r>
      <w:r>
        <w:rPr>
          <w:rFonts w:hint="eastAsia" w:ascii="宋体" w:hAnsi="宋体" w:eastAsia="宋体"/>
          <w:color w:val="auto"/>
          <w:sz w:val="21"/>
          <w:szCs w:val="21"/>
          <w:highlight w:val="none"/>
        </w:rPr>
        <w:t>所投项目为本项目</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lang w:val="en-US" w:eastAsia="zh-CN"/>
        </w:rPr>
        <w:t>投标文件数量少于招标文件要求的</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rPr>
        <w:t>；②投标文件中要求签字的内容无法定代表人或其授权代表签字，或签字人无法定代表人有效授权的；③签字盖章不符合招标文件要求的；④投标文件内容有严重缺漏项的；</w:t>
      </w:r>
      <w:r>
        <w:rPr>
          <w:rFonts w:hint="eastAsia" w:ascii="宋体" w:hAnsi="宋体" w:eastAsia="宋体"/>
          <w:color w:val="auto"/>
          <w:sz w:val="21"/>
          <w:szCs w:val="21"/>
          <w:highlight w:val="none"/>
          <w:lang w:eastAsia="zh-CN"/>
        </w:rPr>
        <w:t>⑤</w:t>
      </w:r>
      <w:r>
        <w:rPr>
          <w:rFonts w:hint="eastAsia" w:ascii="宋体" w:hAnsi="宋体" w:eastAsia="宋体"/>
          <w:color w:val="auto"/>
          <w:sz w:val="21"/>
          <w:szCs w:val="21"/>
          <w:highlight w:val="none"/>
        </w:rPr>
        <w:t>投标文件的关键内容字迹模糊、无法辨认的；</w:t>
      </w:r>
      <w:r>
        <w:rPr>
          <w:rFonts w:hint="eastAsia" w:ascii="宋体" w:hAnsi="宋体" w:eastAsia="宋体"/>
          <w:color w:val="auto"/>
          <w:sz w:val="21"/>
          <w:szCs w:val="21"/>
          <w:highlight w:val="none"/>
          <w:lang w:eastAsia="zh-CN"/>
        </w:rPr>
        <w:t>⑥</w:t>
      </w:r>
      <w:r>
        <w:rPr>
          <w:rFonts w:hint="eastAsia" w:ascii="宋体" w:hAnsi="宋体" w:eastAsia="宋体"/>
          <w:color w:val="auto"/>
          <w:sz w:val="21"/>
          <w:szCs w:val="21"/>
          <w:highlight w:val="none"/>
        </w:rPr>
        <w:t>投标有效期不符合文件要求的。</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2) 技术响应瑕疵</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包括但不限于：①投标文件不满足招标文件中加注星号（★）的主要参数要求或加注星号的主要参数无技术资料支持的；②一般参数超出允许偏离的最大范围或最高项数的；③投标文件技术响应与事实不符或虚假投标的；④《</w:t>
      </w:r>
      <w:r>
        <w:rPr>
          <w:rFonts w:hint="eastAsia" w:ascii="宋体" w:hAnsi="宋体" w:eastAsia="宋体"/>
          <w:color w:val="auto"/>
          <w:sz w:val="21"/>
          <w:szCs w:val="21"/>
          <w:highlight w:val="none"/>
          <w:lang w:eastAsia="zh-CN"/>
        </w:rPr>
        <w:t>技术条款</w:t>
      </w:r>
      <w:r>
        <w:rPr>
          <w:rFonts w:hint="eastAsia" w:ascii="宋体" w:hAnsi="宋体" w:eastAsia="宋体"/>
          <w:color w:val="auto"/>
          <w:sz w:val="21"/>
          <w:szCs w:val="21"/>
          <w:highlight w:val="none"/>
        </w:rPr>
        <w:t>偏离表》未提供的；⑤将一个包中的内容拆开投标的；⑥投标人对同一货物或服务投标时，</w:t>
      </w:r>
      <w:r>
        <w:rPr>
          <w:rFonts w:hint="eastAsia" w:ascii="宋体" w:hAnsi="宋体" w:eastAsia="宋体"/>
          <w:color w:val="auto"/>
          <w:sz w:val="21"/>
          <w:szCs w:val="21"/>
          <w:highlight w:val="none"/>
          <w:lang w:eastAsia="zh-CN"/>
        </w:rPr>
        <w:t>投标方案不唯一</w:t>
      </w:r>
      <w:r>
        <w:rPr>
          <w:rFonts w:hint="eastAsia" w:ascii="宋体" w:hAnsi="宋体" w:eastAsia="宋体"/>
          <w:color w:val="auto"/>
          <w:sz w:val="21"/>
          <w:szCs w:val="21"/>
          <w:highlight w:val="none"/>
        </w:rPr>
        <w:t>；⑦明显不符合技术规格、技术标准要求的；⑧其他未实质性响应招标文件技术要求的。</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3) 商务响应瑕疵</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包括但不限于：①招标文件加注星号（★）的商务要求负偏离的；②招标项目完成期（包括但不限于：工期，服务期，交货期等）未满足招标文件要求的；③投标文件载明的货物包装方式、检验标准和方法不符合招标文件要求的；④《商务条款偏离表》未提供的；</w:t>
      </w:r>
      <w:r>
        <w:rPr>
          <w:rFonts w:hint="eastAsia" w:ascii="宋体" w:hAnsi="宋体" w:eastAsia="宋体"/>
          <w:color w:val="auto"/>
          <w:sz w:val="21"/>
          <w:szCs w:val="21"/>
          <w:highlight w:val="none"/>
          <w:lang w:eastAsia="zh-CN"/>
        </w:rPr>
        <w:t>⑤</w:t>
      </w:r>
      <w:r>
        <w:rPr>
          <w:rFonts w:hint="eastAsia" w:ascii="宋体" w:hAnsi="宋体" w:eastAsia="宋体"/>
          <w:color w:val="auto"/>
          <w:sz w:val="21"/>
          <w:szCs w:val="21"/>
          <w:highlight w:val="none"/>
        </w:rPr>
        <w:t>投标文件附有采购人不能接受的条件的；</w:t>
      </w:r>
      <w:r>
        <w:rPr>
          <w:rFonts w:hint="eastAsia" w:ascii="宋体" w:hAnsi="宋体" w:eastAsia="宋体"/>
          <w:color w:val="auto"/>
          <w:sz w:val="21"/>
          <w:szCs w:val="21"/>
          <w:highlight w:val="none"/>
          <w:lang w:eastAsia="zh-CN"/>
        </w:rPr>
        <w:t>⑥</w:t>
      </w:r>
      <w:r>
        <w:rPr>
          <w:rFonts w:hint="eastAsia" w:ascii="宋体" w:hAnsi="宋体" w:eastAsia="宋体"/>
          <w:color w:val="auto"/>
          <w:sz w:val="21"/>
          <w:szCs w:val="21"/>
          <w:highlight w:val="none"/>
        </w:rPr>
        <w:t>其他未实质性响应招标文件商务要求的。</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4）投标报价瑕疵</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包括但不限于：</w:t>
      </w:r>
      <w:r>
        <w:rPr>
          <w:rFonts w:hint="eastAsia" w:ascii="宋体" w:hAnsi="宋体" w:eastAsia="宋体"/>
          <w:color w:val="auto"/>
          <w:sz w:val="21"/>
          <w:szCs w:val="21"/>
          <w:highlight w:val="none"/>
        </w:rPr>
        <w:t>①投标报价超过本招标文件明确的项目预算或文件明确的最高限价；②</w:t>
      </w:r>
      <w:r>
        <w:rPr>
          <w:rFonts w:hint="eastAsia" w:ascii="宋体" w:hAnsi="宋体" w:eastAsia="宋体"/>
          <w:color w:val="auto"/>
          <w:sz w:val="21"/>
          <w:szCs w:val="21"/>
          <w:highlight w:val="none"/>
          <w:lang w:eastAsia="zh-CN"/>
        </w:rPr>
        <w:t>未按招标文件要求进行报价的</w:t>
      </w:r>
      <w:r>
        <w:rPr>
          <w:rFonts w:hint="eastAsia" w:ascii="宋体" w:hAnsi="宋体" w:eastAsia="宋体"/>
          <w:color w:val="auto"/>
          <w:sz w:val="21"/>
          <w:szCs w:val="21"/>
          <w:highlight w:val="none"/>
        </w:rPr>
        <w:t>；③</w:t>
      </w:r>
      <w:r>
        <w:rPr>
          <w:rFonts w:hint="eastAsia" w:ascii="宋体" w:hAnsi="宋体" w:eastAsia="宋体"/>
          <w:color w:val="auto"/>
          <w:sz w:val="21"/>
          <w:szCs w:val="21"/>
          <w:highlight w:val="none"/>
          <w:lang w:eastAsia="zh-CN"/>
        </w:rPr>
        <w:t>报价内容或报价格式不符合招标文件要求的；④投标报价有严重缺漏项的。</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5）违规行为</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包括但不限于：①以他人的名义投标、串通投标、以行贿手段谋取中标或者以其他弄虚作假方式投标的；②扰乱开标、评标秩序，干扰招标工作正常进行的。</w:t>
      </w:r>
      <w:r>
        <w:rPr>
          <w:rFonts w:hint="eastAsia" w:ascii="宋体" w:hAnsi="宋体" w:eastAsia="宋体"/>
          <w:color w:val="auto"/>
          <w:sz w:val="21"/>
          <w:szCs w:val="21"/>
          <w:highlight w:val="none"/>
          <w:lang w:eastAsia="zh-CN"/>
        </w:rPr>
        <w:t>③存在经评标委员会认定的其他违规违法行为。</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6)法律法规及招标文件中规定的其它情形。</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根据项目情况，评标委员会有权决定招标文件中“可能导致废标”或“可能导致其投标被拒绝”等具体条款是否实施“废标”或“投标被拒绝”，但对同一条款的裁决应适用于每个投标人。</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对于投标文件中不构成实质性偏差的不正规、不一致或不规则，评标委员会可以接受，但这种接受不能损害或影响任何投标人的相对排序。</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color w:val="auto"/>
          <w:highlight w:val="none"/>
        </w:rPr>
      </w:pPr>
      <w:r>
        <w:rPr>
          <w:rFonts w:hint="eastAsia" w:ascii="宋体" w:hAnsi="宋体" w:eastAsia="宋体"/>
          <w:color w:val="auto"/>
          <w:sz w:val="21"/>
          <w:szCs w:val="21"/>
          <w:highlight w:val="none"/>
        </w:rPr>
        <w:t>在详细评标之前，评标委员会要审查每份投标文件是否实质上响应了招标文件的要求。实质上响应的投标应该是与招标文件要求的全部主要条款（加“★”号）、条件和规格相符，没有重大偏离的投标。对关键条文的偏离、保留或反对，例如关于投标保证金、合同条款的重大偏离将被认为是实质上的偏离。评标委员会决定投标文件的响应性只根据投标文件本身的内容，而不寻求外部的证据。</w:t>
      </w:r>
    </w:p>
    <w:p>
      <w:pPr>
        <w:pageBreakBefore w:val="0"/>
        <w:kinsoku/>
        <w:wordWrap/>
        <w:topLinePunct w:val="0"/>
        <w:autoSpaceDE/>
        <w:autoSpaceDN/>
        <w:bidi w:val="0"/>
        <w:spacing w:line="400" w:lineRule="exact"/>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61" w:name="_Toc19657"/>
      <w:r>
        <w:rPr>
          <w:rFonts w:hint="eastAsia" w:ascii="宋体" w:hAnsi="宋体" w:eastAsia="宋体"/>
          <w:color w:val="auto"/>
          <w:sz w:val="21"/>
          <w:szCs w:val="21"/>
          <w:highlight w:val="none"/>
        </w:rPr>
        <w:t>26.商务、技术、价格评审（具体评审项目详见投标资料表）</w:t>
      </w:r>
      <w:bookmarkEnd w:id="61"/>
    </w:p>
    <w:p>
      <w:pPr>
        <w:pStyle w:val="25"/>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ascii="宋体" w:hAnsi="宋体" w:eastAsia="宋体"/>
          <w:color w:val="auto"/>
          <w:sz w:val="21"/>
          <w:szCs w:val="21"/>
          <w:highlight w:val="none"/>
        </w:rPr>
        <w:t>对通过符合性检查的投标人进行商务技术综合评议，针对投标文件对招标文件的响应情况对各个投标人进行商务和技术评分</w:t>
      </w:r>
      <w:r>
        <w:rPr>
          <w:rFonts w:hint="eastAsia" w:ascii="宋体" w:hAnsi="宋体" w:eastAsia="宋体"/>
          <w:color w:val="auto"/>
          <w:sz w:val="21"/>
          <w:szCs w:val="21"/>
          <w:highlight w:val="none"/>
        </w:rPr>
        <w:t xml:space="preserve">。 </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投标文件报价出现前后不一致的，评标委员会按照下列规定修正：</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投标文件中开标一览表（报价表）内容与投标文件中相应内容不一致的，以开标一览表（报价表）为准；</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大写金额和小写金额不一致的，以大写金额为准；</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单价金额小数点或者百分比有明显错位的，以开标一览表的总价为准，并修改单价；</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总价金额与按单价汇总金额不一致的，以单价金额计算结果为准。</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同时出现两种以上不一致的，按照前款规定的顺序修正。修正后的报价按照经投标人确认后产生约束力，投标人不确认的，其投标无效。</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评标委员会对通过符合性审查的投标文件进行详细评审。评标委员会对每一投标文件进行详细的商务评审、技术评审。按照评审程序的规定和依据评分标准，各位评委就每个投标人的技术、商务状况及其对招标文件要求的响应情况进行评议和比较，评出其技术评分和商务评分。根据招标文件规定评出得分，将价格得分、商务得分、技术得分相加得出最终评标得分。</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使用综合评分法的采购项目，</w:t>
      </w:r>
      <w:r>
        <w:rPr>
          <w:rFonts w:hint="eastAsia" w:ascii="宋体" w:hAnsi="宋体" w:eastAsia="宋体"/>
          <w:color w:val="auto"/>
          <w:sz w:val="21"/>
          <w:szCs w:val="21"/>
          <w:highlight w:val="none"/>
          <w:lang w:eastAsia="zh-CN"/>
        </w:rPr>
        <w:t>核心产品</w:t>
      </w:r>
      <w:r>
        <w:rPr>
          <w:rFonts w:hint="eastAsia" w:ascii="宋体" w:hAnsi="宋体" w:eastAsia="宋体"/>
          <w:color w:val="auto"/>
          <w:sz w:val="21"/>
          <w:szCs w:val="21"/>
          <w:highlight w:val="none"/>
        </w:rPr>
        <w:t>提供相同品牌产品且通过资格审查、符合性审查的不同投标人参加同一合同项下投标的，按一家投标人计算，评审后得分最高的同品牌投标人获得中标人推荐资格</w:t>
      </w:r>
      <w:r>
        <w:rPr>
          <w:rFonts w:hint="eastAsia" w:ascii="宋体" w:hAnsi="宋体" w:eastAsia="宋体"/>
          <w:color w:val="auto"/>
          <w:sz w:val="21"/>
          <w:szCs w:val="21"/>
          <w:highlight w:val="none"/>
          <w:lang w:eastAsia="zh-CN"/>
        </w:rPr>
        <w:t>。</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核心产品</w:t>
      </w:r>
      <w:r>
        <w:rPr>
          <w:rFonts w:hint="eastAsia" w:ascii="宋体" w:hAnsi="宋体" w:eastAsia="宋体"/>
          <w:color w:val="auto"/>
          <w:sz w:val="21"/>
          <w:szCs w:val="21"/>
          <w:highlight w:val="none"/>
        </w:rPr>
        <w:t>提供相同品牌产品且通过资格审查、符合性审查的不同投标人参加同一合同项下投标</w:t>
      </w:r>
      <w:r>
        <w:rPr>
          <w:rFonts w:hint="eastAsia" w:ascii="宋体" w:hAnsi="宋体" w:eastAsia="宋体"/>
          <w:color w:val="auto"/>
          <w:sz w:val="21"/>
          <w:szCs w:val="21"/>
          <w:highlight w:val="none"/>
          <w:lang w:eastAsia="zh-CN"/>
        </w:rPr>
        <w:t>且</w:t>
      </w:r>
      <w:r>
        <w:rPr>
          <w:rFonts w:hint="eastAsia" w:ascii="宋体" w:hAnsi="宋体" w:eastAsia="宋体"/>
          <w:color w:val="auto"/>
          <w:sz w:val="21"/>
          <w:szCs w:val="21"/>
          <w:highlight w:val="none"/>
        </w:rPr>
        <w:t>评审得分相同的，按照评审因素的</w:t>
      </w:r>
      <w:r>
        <w:rPr>
          <w:rFonts w:hint="eastAsia" w:ascii="宋体" w:hAnsi="宋体" w:eastAsia="宋体"/>
          <w:color w:val="auto"/>
          <w:sz w:val="21"/>
          <w:szCs w:val="21"/>
          <w:highlight w:val="none"/>
          <w:lang w:eastAsia="zh-CN"/>
        </w:rPr>
        <w:t>技术</w:t>
      </w:r>
      <w:r>
        <w:rPr>
          <w:rFonts w:hint="eastAsia" w:ascii="宋体" w:hAnsi="宋体" w:eastAsia="宋体"/>
          <w:color w:val="auto"/>
          <w:sz w:val="21"/>
          <w:szCs w:val="21"/>
          <w:highlight w:val="none"/>
        </w:rPr>
        <w:t>评审得分最高的投标人为排名第一的中标候选人，其他同品牌投标人不作为中标候选人。</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eastAsia="宋体"/>
          <w:color w:val="auto"/>
          <w:highlight w:val="none"/>
          <w:lang w:eastAsia="zh-CN"/>
        </w:rPr>
      </w:pPr>
      <w:r>
        <w:rPr>
          <w:rFonts w:hint="eastAsia" w:ascii="宋体" w:hAnsi="宋体" w:eastAsia="宋体"/>
          <w:color w:val="auto"/>
          <w:sz w:val="21"/>
          <w:szCs w:val="21"/>
          <w:highlight w:val="none"/>
        </w:rPr>
        <w:t>采用综合评分法的，评标结果按评审后得分由高到低顺序排列。</w:t>
      </w:r>
      <w:r>
        <w:rPr>
          <w:rFonts w:hint="eastAsia" w:ascii="宋体" w:hAnsi="宋体" w:eastAsia="宋体"/>
          <w:color w:val="auto"/>
          <w:sz w:val="21"/>
          <w:szCs w:val="21"/>
          <w:highlight w:val="none"/>
          <w:lang w:eastAsia="zh-CN"/>
        </w:rPr>
        <w:t>评审</w:t>
      </w:r>
      <w:r>
        <w:rPr>
          <w:rFonts w:hint="eastAsia" w:ascii="宋体" w:hAnsi="宋体" w:eastAsia="宋体"/>
          <w:color w:val="auto"/>
          <w:sz w:val="21"/>
          <w:szCs w:val="21"/>
          <w:highlight w:val="none"/>
        </w:rPr>
        <w:t>得分相同的，按投标报价</w:t>
      </w:r>
      <w:r>
        <w:rPr>
          <w:rFonts w:hint="eastAsia" w:ascii="宋体" w:hAnsi="宋体" w:eastAsia="宋体"/>
          <w:color w:val="auto"/>
          <w:sz w:val="21"/>
          <w:szCs w:val="21"/>
          <w:highlight w:val="none"/>
          <w:lang w:eastAsia="zh-CN"/>
        </w:rPr>
        <w:t>（投标原报价）</w:t>
      </w:r>
      <w:r>
        <w:rPr>
          <w:rFonts w:hint="eastAsia" w:ascii="宋体" w:hAnsi="宋体" w:eastAsia="宋体"/>
          <w:color w:val="auto"/>
          <w:sz w:val="21"/>
          <w:szCs w:val="21"/>
          <w:highlight w:val="none"/>
        </w:rPr>
        <w:t>由低到高顺序排列。</w:t>
      </w:r>
      <w:r>
        <w:rPr>
          <w:rFonts w:hint="eastAsia" w:ascii="宋体" w:hAnsi="宋体" w:eastAsia="宋体"/>
          <w:color w:val="auto"/>
          <w:sz w:val="21"/>
          <w:szCs w:val="21"/>
          <w:highlight w:val="none"/>
          <w:lang w:eastAsia="zh-CN"/>
        </w:rPr>
        <w:t>评审得分及投标报价均相同时，以随机抽取方式决定。</w:t>
      </w:r>
      <w:r>
        <w:rPr>
          <w:rFonts w:hint="eastAsia" w:ascii="宋体" w:hAnsi="宋体" w:eastAsia="宋体"/>
          <w:color w:val="auto"/>
          <w:sz w:val="21"/>
          <w:szCs w:val="21"/>
          <w:highlight w:val="none"/>
        </w:rPr>
        <w:t>投标文件满足招标文件全部实质性要求，且按照评审因素的量化指标评审得分最高的投标人为排名第一的中标候选人。</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62" w:name="_Toc6456"/>
      <w:r>
        <w:rPr>
          <w:rFonts w:hint="eastAsia" w:ascii="宋体" w:hAnsi="宋体" w:eastAsia="宋体"/>
          <w:color w:val="auto"/>
          <w:sz w:val="21"/>
          <w:szCs w:val="21"/>
          <w:highlight w:val="none"/>
        </w:rPr>
        <w:t>27.优惠政策</w:t>
      </w:r>
      <w:bookmarkEnd w:id="62"/>
      <w:r>
        <w:rPr>
          <w:rFonts w:hint="eastAsia" w:ascii="宋体" w:hAnsi="宋体" w:eastAsia="宋体"/>
          <w:color w:val="auto"/>
          <w:sz w:val="21"/>
          <w:szCs w:val="21"/>
          <w:highlight w:val="none"/>
          <w:lang w:val="en-US" w:eastAsia="zh-CN"/>
        </w:rPr>
        <w:t>（仅适用于政府采购）</w:t>
      </w:r>
    </w:p>
    <w:p>
      <w:pPr>
        <w:pStyle w:val="25"/>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对小型或微型企业、监狱企业、残疾人福利性单位投标的扶持：</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根据财政部、工业和信息化部制定了《</w:t>
      </w:r>
      <w:r>
        <w:rPr>
          <w:rFonts w:hint="eastAsia" w:ascii="宋体" w:hAnsi="宋体" w:eastAsia="宋体"/>
          <w:color w:val="auto"/>
          <w:sz w:val="21"/>
          <w:szCs w:val="21"/>
          <w:highlight w:val="none"/>
          <w:lang w:eastAsia="zh-CN"/>
        </w:rPr>
        <w:t>政府采购促进中小企业发展管理办法</w:t>
      </w:r>
      <w:r>
        <w:rPr>
          <w:rFonts w:hint="eastAsia" w:ascii="宋体" w:hAnsi="宋体" w:eastAsia="宋体"/>
          <w:color w:val="auto"/>
          <w:sz w:val="21"/>
          <w:szCs w:val="21"/>
          <w:highlight w:val="none"/>
        </w:rPr>
        <w:t>》</w:t>
      </w:r>
      <w:r>
        <w:rPr>
          <w:rFonts w:hint="eastAsia" w:ascii="宋体" w:hAnsi="宋体" w:eastAsia="宋体"/>
          <w:color w:val="auto"/>
          <w:sz w:val="21"/>
          <w:szCs w:val="21"/>
          <w:highlight w:val="none"/>
          <w:lang w:eastAsia="zh-CN"/>
        </w:rPr>
        <w:t>（财库〔2020〕46号）</w:t>
      </w:r>
      <w:r>
        <w:rPr>
          <w:rFonts w:hint="eastAsia" w:ascii="宋体" w:hAnsi="宋体" w:eastAsia="宋体"/>
          <w:color w:val="auto"/>
          <w:sz w:val="21"/>
          <w:szCs w:val="21"/>
          <w:highlight w:val="none"/>
        </w:rPr>
        <w:t>的规定，对小型或微型企业产品的价格给予一定比例扣除，用扣除后的价格参与评审。（参加政府采购活动的中小企业应按照招标文件中投标文件格式提出《中小企业声明函》）残疾人福利性单位、监狱企业（注：参加政府采购活动的监狱企业必须提供由省级以上监狱管理局、戒毒管理局(含新疆生产建设兵团)出具的监狱企业证明文件）视同小型、微型企业。</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符合中小企业划分标准：应当符合《工业和信息化部、国家统计局、国家发展和改革委员会、财政部关于印发中小企业划型标准规定的通知》（工信部联企业〔2011〕300号）的规定；提供本企业制造的货物、承担的工程或者服务，或者提供其他小型或微型企业的制造的货物。本项所称货物不包括使用大型企业注册商标的货物。</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在货物采购项目中，供应商提供的货物既有中小企业制造货物，也有大型企业制造货物的，不享受</w:t>
      </w:r>
      <w:r>
        <w:rPr>
          <w:rFonts w:hint="eastAsia" w:ascii="宋体" w:hAnsi="宋体" w:eastAsia="宋体"/>
          <w:color w:val="auto"/>
          <w:sz w:val="21"/>
          <w:szCs w:val="21"/>
          <w:highlight w:val="none"/>
          <w:lang w:eastAsia="zh-CN"/>
        </w:rPr>
        <w:t>“财政部 工业和信息化部关于印发《政府采购促进中小企业发展管理办法》的通知（财库〔2020〕46号）”</w:t>
      </w:r>
      <w:r>
        <w:rPr>
          <w:rFonts w:hint="eastAsia" w:ascii="宋体" w:hAnsi="宋体" w:eastAsia="宋体"/>
          <w:color w:val="auto"/>
          <w:sz w:val="21"/>
          <w:szCs w:val="21"/>
          <w:highlight w:val="none"/>
        </w:rPr>
        <w:t>规定的中小企业扶持政策。</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投标人同时为小型、微型企业、监狱企业、残疾人福利性单位任两种或以上情况的，评审中只享受一次价格扣除，不重复进行价格扣除。</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b/>
          <w:bCs/>
          <w:color w:val="auto"/>
          <w:sz w:val="21"/>
          <w:szCs w:val="21"/>
          <w:highlight w:val="none"/>
          <w:u w:val="single"/>
        </w:rPr>
      </w:pPr>
      <w:r>
        <w:rPr>
          <w:rFonts w:hint="eastAsia" w:ascii="宋体" w:hAnsi="宋体" w:eastAsia="宋体"/>
          <w:b/>
          <w:bCs/>
          <w:color w:val="auto"/>
          <w:sz w:val="21"/>
          <w:szCs w:val="21"/>
          <w:highlight w:val="none"/>
          <w:u w:val="single"/>
        </w:rPr>
        <w:t>中标、成交供应商享受本办法（财库〔2020〕46号）规定的中小企业扶持政策的，采购代理机构</w:t>
      </w:r>
      <w:r>
        <w:rPr>
          <w:rFonts w:hint="eastAsia" w:ascii="宋体" w:hAnsi="宋体" w:eastAsia="宋体"/>
          <w:b/>
          <w:bCs/>
          <w:color w:val="auto"/>
          <w:sz w:val="21"/>
          <w:szCs w:val="21"/>
          <w:highlight w:val="none"/>
          <w:u w:val="single"/>
          <w:lang w:eastAsia="zh-CN"/>
        </w:rPr>
        <w:t>将</w:t>
      </w:r>
      <w:r>
        <w:rPr>
          <w:rFonts w:hint="eastAsia" w:ascii="宋体" w:hAnsi="宋体" w:eastAsia="宋体"/>
          <w:b/>
          <w:bCs/>
          <w:color w:val="auto"/>
          <w:sz w:val="21"/>
          <w:szCs w:val="21"/>
          <w:highlight w:val="none"/>
          <w:u w:val="single"/>
        </w:rPr>
        <w:t>随中标、成交结果公开中标、成交供应商的《中小企业声明函》。</w:t>
      </w:r>
      <w:r>
        <w:rPr>
          <w:rFonts w:hint="eastAsia" w:ascii="宋体" w:hAnsi="宋体" w:eastAsia="宋体"/>
          <w:b/>
          <w:bCs/>
          <w:color w:val="auto"/>
          <w:sz w:val="21"/>
          <w:szCs w:val="21"/>
          <w:highlight w:val="none"/>
          <w:u w:val="single"/>
          <w:lang w:eastAsia="zh-CN"/>
        </w:rPr>
        <w:t>各供应商不得提供虚假声明，提供虚假声明取消中标、成交资格，并追究其法律责任。</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符合享受政府采购支持政策的残疾人福利性单位划分标准（根据财政部 民政部 中国残疾人联合会关于促进残疾人就业政府采购政策的通知(财库[2017]141号)）：</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（1）安置的残疾人占本单位在职职工人数的比例不低于25%（含25%），并且安置的残疾人人数不少于10人（含10人）；</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（2）依法与安置的每位残疾人签订了一年以上（含一年）的劳动合同或服务协议；</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（3）为安置的每位残疾人按月足额缴纳了基本养老保险、基本医疗保险、失业保险、工伤保险和生育保险等社会保险费；</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（4）通过银行等金融机构向安置的每位残疾人，按月支付了不低于单位所在区县适用的经省级人民政府批准的月最低工资标准的工资；</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（5）提供本单位制造的货物、承担的工程或者服务（以下简称产品），或者提供其他残疾人福利性单位制造的货物（不包括使用非残疾人福利性单位注册商标的货物）。</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对节能产品或环境标志产品的扶持：</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根据《关于调整优化节能产品、环境标志产品政府采购执行机制的通知》（财库〔2019〕9号）及《转发财政部 发展改革委 生态环境部 市场监管总局关于调整优化节能产品 环境标志产品政府采购执行机制的通知》（粤财采购函〔2019〕1号）的规定，对提供节能产品或环境标志产品的投标单位的价格给予一定比例扣除（扣除比例详见投标资料表）。</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提供节能产品或环境标志产品的投标人其产品应符合以下规定：</w:t>
      </w:r>
    </w:p>
    <w:p>
      <w:pPr>
        <w:pageBreakBefore w:val="0"/>
        <w:widowControl w:val="0"/>
        <w:numPr>
          <w:ilvl w:val="0"/>
          <w:numId w:val="6"/>
        </w:numPr>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所投产品属于《节能产品政府采购品目清单》或《环境标志产品政府采购品目清单》的，投标人应如实填写《节能产品或环境标志产品列价表》并提供在有效期内的“节能产品认证证书”或“环境标志产品认证证书”。</w:t>
      </w:r>
    </w:p>
    <w:p>
      <w:pPr>
        <w:pageBreakBefore w:val="0"/>
        <w:widowControl w:val="0"/>
        <w:numPr>
          <w:ilvl w:val="0"/>
          <w:numId w:val="6"/>
        </w:numPr>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所投节能产品或环境标志产品其认证证书的认证机构应属于《市场监管总局关于发布参与实施政府采购节能产品、环境标志产品认证机构名录的公告（2019年第16号）》公告中所公示的认证机构，若投标人所提供的产品认证证书其认证机构不属于以上公示中的机构，则视为无效认证，不给予价格扣除优惠。</w:t>
      </w:r>
    </w:p>
    <w:p>
      <w:pPr>
        <w:pageBreakBefore w:val="0"/>
        <w:widowControl w:val="0"/>
        <w:numPr>
          <w:ilvl w:val="0"/>
          <w:numId w:val="6"/>
        </w:numPr>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若用户需求中含有《节能产品政府采购品目清单》中的政府强制采购产品，投标人应根据要求提供所对应的节能产品，否则做投标无效处理。</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63" w:name="_Toc316375620"/>
      <w:bookmarkStart w:id="64" w:name="_Toc20328"/>
      <w:bookmarkStart w:id="65" w:name="_Toc382049120"/>
      <w:bookmarkStart w:id="66" w:name="_Toc5898"/>
      <w:r>
        <w:rPr>
          <w:rFonts w:hint="eastAsia" w:ascii="宋体" w:hAnsi="宋体" w:eastAsia="宋体"/>
          <w:color w:val="auto"/>
          <w:sz w:val="21"/>
          <w:szCs w:val="21"/>
          <w:highlight w:val="none"/>
        </w:rPr>
        <w:t>28.纪律和</w:t>
      </w:r>
      <w:r>
        <w:rPr>
          <w:rFonts w:ascii="宋体" w:hAnsi="宋体" w:eastAsia="宋体"/>
          <w:color w:val="auto"/>
          <w:sz w:val="21"/>
          <w:szCs w:val="21"/>
          <w:highlight w:val="none"/>
        </w:rPr>
        <w:t>保密</w:t>
      </w:r>
      <w:bookmarkEnd w:id="63"/>
      <w:r>
        <w:rPr>
          <w:rFonts w:hint="eastAsia" w:ascii="宋体" w:hAnsi="宋体" w:eastAsia="宋体"/>
          <w:color w:val="auto"/>
          <w:sz w:val="21"/>
          <w:szCs w:val="21"/>
          <w:highlight w:val="none"/>
        </w:rPr>
        <w:t>事项</w:t>
      </w:r>
      <w:bookmarkEnd w:id="64"/>
      <w:bookmarkEnd w:id="65"/>
      <w:bookmarkEnd w:id="66"/>
    </w:p>
    <w:p>
      <w:pPr>
        <w:pStyle w:val="25"/>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从开标之日起至授予合同期间，在投标文件的审查、澄清、比较和评价阶段，投标人试图对评标委员会和采购代理机构施加任何影响或对采购人的比较及授予合同的决定产生影响，都可能导致其投标文件被拒绝。</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投标人不得串通作弊，以不正当的手段妨碍、排挤其他投标人，扰乱招标市场，破坏公平竞争原则。否则将按相关法律规定严肃处理。</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获得本招标文件的投标人，应对文件进行保密，不得用作本次投标以外的任何用途。开标后，投标人应归还招标文件中要求保密的文件和资料。</w:t>
      </w:r>
    </w:p>
    <w:p>
      <w:pPr>
        <w:pageBreakBefore w:val="0"/>
        <w:kinsoku/>
        <w:topLinePunct w:val="0"/>
        <w:autoSpaceDE/>
        <w:autoSpaceDN/>
        <w:bidi w:val="0"/>
        <w:spacing w:line="360" w:lineRule="auto"/>
        <w:rPr>
          <w:color w:val="auto"/>
          <w:highlight w:val="none"/>
        </w:rPr>
      </w:pPr>
    </w:p>
    <w:p>
      <w:pPr>
        <w:pStyle w:val="4"/>
        <w:keepNext/>
        <w:keepLines/>
        <w:pageBreakBefore w:val="0"/>
        <w:widowControl/>
        <w:numPr>
          <w:ilvl w:val="0"/>
          <w:numId w:val="2"/>
        </w:numPr>
        <w:kinsoku/>
        <w:wordWrap/>
        <w:overflowPunct/>
        <w:topLinePunct w:val="0"/>
        <w:autoSpaceDE/>
        <w:autoSpaceDN/>
        <w:bidi w:val="0"/>
        <w:adjustRightInd w:val="0"/>
        <w:snapToGrid w:val="0"/>
        <w:spacing w:before="0" w:after="0" w:line="360" w:lineRule="auto"/>
        <w:ind w:left="0" w:firstLine="0"/>
        <w:jc w:val="center"/>
        <w:textAlignment w:val="auto"/>
        <w:rPr>
          <w:rFonts w:ascii="宋体" w:hAnsi="宋体" w:eastAsia="宋体"/>
          <w:color w:val="auto"/>
          <w:highlight w:val="none"/>
        </w:rPr>
      </w:pPr>
      <w:bookmarkStart w:id="67" w:name="_Toc21732"/>
      <w:r>
        <w:rPr>
          <w:rFonts w:hint="eastAsia" w:ascii="宋体" w:hAnsi="宋体" w:eastAsia="宋体"/>
          <w:color w:val="auto"/>
          <w:highlight w:val="none"/>
        </w:rPr>
        <w:t>授予合同</w:t>
      </w:r>
      <w:bookmarkEnd w:id="67"/>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68" w:name="_Toc4954"/>
      <w:bookmarkStart w:id="69" w:name="_Toc508284011"/>
      <w:r>
        <w:rPr>
          <w:rFonts w:hint="eastAsia" w:ascii="宋体" w:hAnsi="宋体" w:eastAsia="宋体"/>
          <w:color w:val="auto"/>
          <w:sz w:val="21"/>
          <w:szCs w:val="21"/>
          <w:highlight w:val="none"/>
        </w:rPr>
        <w:t>29.</w:t>
      </w:r>
      <w:r>
        <w:rPr>
          <w:rFonts w:ascii="宋体" w:hAnsi="宋体" w:eastAsia="宋体"/>
          <w:color w:val="auto"/>
          <w:sz w:val="21"/>
          <w:szCs w:val="21"/>
          <w:highlight w:val="none"/>
        </w:rPr>
        <w:t>合同授予标准</w:t>
      </w:r>
      <w:bookmarkEnd w:id="68"/>
      <w:bookmarkEnd w:id="69"/>
    </w:p>
    <w:p>
      <w:pPr>
        <w:pStyle w:val="25"/>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根据评标委员会的评审结果，采购人按照评审报告推荐的中标候选人中按顺序依法确定中标人</w:t>
      </w:r>
      <w:r>
        <w:rPr>
          <w:rFonts w:ascii="宋体" w:hAnsi="宋体" w:eastAsia="宋体"/>
          <w:color w:val="auto"/>
          <w:sz w:val="21"/>
          <w:szCs w:val="21"/>
          <w:highlight w:val="none"/>
        </w:rPr>
        <w:t>。</w:t>
      </w:r>
    </w:p>
    <w:p>
      <w:pPr>
        <w:pageBreakBefore w:val="0"/>
        <w:kinsoku/>
        <w:wordWrap/>
        <w:topLinePunct w:val="0"/>
        <w:autoSpaceDE/>
        <w:autoSpaceDN/>
        <w:bidi w:val="0"/>
        <w:spacing w:line="400" w:lineRule="exact"/>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70" w:name="_Toc22043"/>
      <w:bookmarkStart w:id="71" w:name="_Toc508284013"/>
      <w:r>
        <w:rPr>
          <w:rFonts w:hint="eastAsia" w:ascii="宋体" w:hAnsi="宋体" w:eastAsia="宋体"/>
          <w:color w:val="auto"/>
          <w:sz w:val="21"/>
          <w:szCs w:val="21"/>
          <w:highlight w:val="none"/>
        </w:rPr>
        <w:t>30.发布采购结果</w:t>
      </w:r>
      <w:bookmarkEnd w:id="70"/>
      <w:bookmarkEnd w:id="71"/>
    </w:p>
    <w:p>
      <w:pPr>
        <w:pStyle w:val="25"/>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评标委员会提出评标书面报告和推荐中标意见报采购人确认后，采购代理机构将在指定的信息发布媒体上发布公告。</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中标公告期限为1个工作日。</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结果公示发布后，中标单位应及时领取中标通知书。</w:t>
      </w:r>
      <w:r>
        <w:rPr>
          <w:rFonts w:hint="eastAsia" w:ascii="宋体" w:hAnsi="宋体" w:eastAsia="宋体"/>
          <w:color w:val="auto"/>
          <w:sz w:val="21"/>
          <w:szCs w:val="21"/>
          <w:highlight w:val="none"/>
        </w:rPr>
        <w:t>《中标通知书》是合同的一个组成部分，《中标通知书》对采购人和中标人均具有同等法律效力。</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中标人无正当理由不得放弃中标</w:t>
      </w:r>
      <w:r>
        <w:rPr>
          <w:rFonts w:hint="eastAsia" w:ascii="宋体" w:hAnsi="宋体" w:eastAsia="宋体"/>
          <w:color w:val="auto"/>
          <w:sz w:val="21"/>
          <w:szCs w:val="21"/>
          <w:highlight w:val="none"/>
          <w:lang w:eastAsia="zh-CN"/>
        </w:rPr>
        <w:t>，因中标人放弃中标而对采购人造成的损失由放弃中标的中标人承担。</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中标人为残疾人福利性单位的，采购人或者其委托的采购代理机构应当随中标、成交结果同时公告其《残疾人福利性单位声明函》，接受社会监督。</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b w:val="0"/>
          <w:bCs w:val="0"/>
          <w:color w:val="auto"/>
          <w:sz w:val="21"/>
          <w:szCs w:val="21"/>
          <w:highlight w:val="none"/>
          <w:lang w:eastAsia="zh-CN"/>
        </w:rPr>
      </w:pPr>
      <w:r>
        <w:rPr>
          <w:rFonts w:hint="eastAsia" w:ascii="宋体" w:hAnsi="宋体" w:eastAsia="宋体"/>
          <w:b w:val="0"/>
          <w:bCs w:val="0"/>
          <w:color w:val="auto"/>
          <w:sz w:val="21"/>
          <w:szCs w:val="21"/>
          <w:highlight w:val="none"/>
          <w:lang w:eastAsia="zh-CN"/>
        </w:rPr>
        <w:t>原件核查</w:t>
      </w:r>
    </w:p>
    <w:p>
      <w:pPr>
        <w:pageBreakBefore w:val="0"/>
        <w:widowControl w:val="0"/>
        <w:numPr>
          <w:ilvl w:val="2"/>
          <w:numId w:val="3"/>
        </w:numPr>
        <w:tabs>
          <w:tab w:val="left" w:pos="567"/>
          <w:tab w:val="left" w:pos="907"/>
          <w:tab w:val="clear" w:pos="794"/>
        </w:tabs>
        <w:kinsoku/>
        <w:wordWrap/>
        <w:topLinePunct w:val="0"/>
        <w:autoSpaceDE/>
        <w:autoSpaceDN/>
        <w:bidi w:val="0"/>
        <w:adjustRightInd/>
        <w:snapToGrid/>
        <w:spacing w:after="0" w:line="400" w:lineRule="exact"/>
        <w:ind w:left="794" w:leftChars="0" w:hanging="794" w:firstLineChars="0"/>
        <w:jc w:val="both"/>
        <w:textAlignment w:val="auto"/>
        <w:rPr>
          <w:rFonts w:hint="eastAsia" w:ascii="宋体" w:hAnsi="宋体" w:eastAsia="宋体"/>
          <w:b w:val="0"/>
          <w:bCs w:val="0"/>
          <w:color w:val="auto"/>
          <w:sz w:val="21"/>
          <w:szCs w:val="21"/>
          <w:highlight w:val="none"/>
          <w:lang w:eastAsia="zh-CN"/>
        </w:rPr>
      </w:pPr>
      <w:r>
        <w:rPr>
          <w:rFonts w:hint="eastAsia" w:ascii="宋体" w:hAnsi="宋体" w:eastAsia="宋体"/>
          <w:b w:val="0"/>
          <w:bCs w:val="0"/>
          <w:color w:val="auto"/>
          <w:sz w:val="21"/>
          <w:szCs w:val="21"/>
          <w:highlight w:val="none"/>
          <w:lang w:eastAsia="zh-CN"/>
        </w:rPr>
        <w:t>采购结果发布后，采购代理机构</w:t>
      </w:r>
      <w:r>
        <w:rPr>
          <w:rFonts w:hint="eastAsia" w:ascii="宋体" w:hAnsi="宋体" w:eastAsia="宋体"/>
          <w:b w:val="0"/>
          <w:bCs w:val="0"/>
          <w:color w:val="auto"/>
          <w:sz w:val="21"/>
          <w:szCs w:val="21"/>
          <w:highlight w:val="none"/>
          <w:lang w:val="en-US" w:eastAsia="zh-CN"/>
        </w:rPr>
        <w:t>或采购人有权对</w:t>
      </w:r>
      <w:r>
        <w:rPr>
          <w:rFonts w:hint="eastAsia" w:ascii="宋体" w:hAnsi="宋体" w:eastAsia="宋体"/>
          <w:b w:val="0"/>
          <w:bCs w:val="0"/>
          <w:color w:val="auto"/>
          <w:sz w:val="21"/>
          <w:szCs w:val="21"/>
          <w:highlight w:val="none"/>
          <w:lang w:eastAsia="zh-CN"/>
        </w:rPr>
        <w:t>中标单位</w:t>
      </w:r>
      <w:r>
        <w:rPr>
          <w:rFonts w:hint="eastAsia" w:ascii="宋体" w:hAnsi="宋体" w:eastAsia="宋体"/>
          <w:b w:val="0"/>
          <w:bCs w:val="0"/>
          <w:color w:val="auto"/>
          <w:sz w:val="21"/>
          <w:szCs w:val="21"/>
          <w:highlight w:val="none"/>
          <w:lang w:val="en-US" w:eastAsia="zh-CN"/>
        </w:rPr>
        <w:t>进行原件核查，中标单位应</w:t>
      </w:r>
      <w:r>
        <w:rPr>
          <w:rFonts w:hint="eastAsia" w:ascii="宋体" w:hAnsi="宋体" w:eastAsia="宋体"/>
          <w:b w:val="0"/>
          <w:bCs w:val="0"/>
          <w:color w:val="auto"/>
          <w:sz w:val="21"/>
          <w:szCs w:val="21"/>
          <w:highlight w:val="none"/>
          <w:lang w:eastAsia="zh-CN"/>
        </w:rPr>
        <w:t>在五个工作日</w:t>
      </w:r>
      <w:r>
        <w:rPr>
          <w:rFonts w:hint="eastAsia" w:ascii="宋体" w:hAnsi="宋体" w:eastAsia="宋体"/>
          <w:b w:val="0"/>
          <w:bCs w:val="0"/>
          <w:color w:val="auto"/>
          <w:sz w:val="21"/>
          <w:szCs w:val="21"/>
          <w:highlight w:val="none"/>
          <w:lang w:val="en-US" w:eastAsia="zh-CN"/>
        </w:rPr>
        <w:t>内把相关原件递交至采购代理机构</w:t>
      </w:r>
      <w:r>
        <w:rPr>
          <w:rFonts w:hint="eastAsia" w:ascii="宋体" w:hAnsi="宋体" w:eastAsia="宋体"/>
          <w:b w:val="0"/>
          <w:bCs w:val="0"/>
          <w:color w:val="auto"/>
          <w:sz w:val="21"/>
          <w:szCs w:val="21"/>
          <w:highlight w:val="none"/>
          <w:lang w:eastAsia="zh-CN"/>
        </w:rPr>
        <w:t>办公地址或采购人指定地址进行核查。</w:t>
      </w:r>
    </w:p>
    <w:p>
      <w:pPr>
        <w:pageBreakBefore w:val="0"/>
        <w:widowControl w:val="0"/>
        <w:numPr>
          <w:ilvl w:val="2"/>
          <w:numId w:val="3"/>
        </w:numPr>
        <w:tabs>
          <w:tab w:val="left" w:pos="567"/>
          <w:tab w:val="left" w:pos="907"/>
          <w:tab w:val="clear" w:pos="794"/>
        </w:tabs>
        <w:kinsoku/>
        <w:wordWrap/>
        <w:topLinePunct w:val="0"/>
        <w:autoSpaceDE/>
        <w:autoSpaceDN/>
        <w:bidi w:val="0"/>
        <w:adjustRightInd/>
        <w:snapToGrid/>
        <w:spacing w:after="0" w:line="400" w:lineRule="exact"/>
        <w:ind w:left="794" w:leftChars="0" w:hanging="794" w:firstLineChars="0"/>
        <w:jc w:val="both"/>
        <w:textAlignment w:val="auto"/>
        <w:rPr>
          <w:rFonts w:hint="eastAsia" w:ascii="宋体" w:hAnsi="宋体" w:eastAsia="宋体"/>
          <w:b w:val="0"/>
          <w:bCs w:val="0"/>
          <w:color w:val="auto"/>
          <w:sz w:val="21"/>
          <w:szCs w:val="21"/>
          <w:highlight w:val="none"/>
          <w:lang w:eastAsia="zh-CN"/>
        </w:rPr>
      </w:pPr>
      <w:r>
        <w:rPr>
          <w:rFonts w:hint="eastAsia" w:ascii="宋体" w:hAnsi="宋体" w:eastAsia="宋体"/>
          <w:b w:val="0"/>
          <w:bCs w:val="0"/>
          <w:color w:val="auto"/>
          <w:sz w:val="21"/>
          <w:szCs w:val="21"/>
          <w:highlight w:val="none"/>
          <w:lang w:eastAsia="zh-CN"/>
        </w:rPr>
        <w:t>中标单位有下列情形之一的，取消中标资格：</w:t>
      </w:r>
    </w:p>
    <w:p>
      <w:pPr>
        <w:pageBreakBefore w:val="0"/>
        <w:widowControl w:val="0"/>
        <w:numPr>
          <w:ilvl w:val="0"/>
          <w:numId w:val="7"/>
        </w:numPr>
        <w:tabs>
          <w:tab w:val="left" w:pos="567"/>
          <w:tab w:val="left" w:pos="907"/>
        </w:tabs>
        <w:kinsoku/>
        <w:wordWrap/>
        <w:topLinePunct w:val="0"/>
        <w:autoSpaceDE/>
        <w:autoSpaceDN/>
        <w:bidi w:val="0"/>
        <w:adjustRightInd/>
        <w:snapToGrid/>
        <w:spacing w:after="0" w:line="400" w:lineRule="exact"/>
        <w:ind w:left="660" w:leftChars="0" w:firstLineChars="0"/>
        <w:jc w:val="both"/>
        <w:textAlignment w:val="auto"/>
        <w:rPr>
          <w:rFonts w:hint="eastAsia" w:ascii="宋体" w:hAnsi="宋体" w:eastAsia="宋体"/>
          <w:b w:val="0"/>
          <w:bCs w:val="0"/>
          <w:color w:val="auto"/>
          <w:sz w:val="21"/>
          <w:szCs w:val="21"/>
          <w:highlight w:val="none"/>
          <w:lang w:eastAsia="zh-CN"/>
        </w:rPr>
      </w:pPr>
      <w:r>
        <w:rPr>
          <w:rFonts w:hint="eastAsia" w:ascii="宋体" w:hAnsi="宋体" w:eastAsia="宋体"/>
          <w:b w:val="0"/>
          <w:bCs w:val="0"/>
          <w:color w:val="auto"/>
          <w:sz w:val="21"/>
          <w:szCs w:val="21"/>
          <w:highlight w:val="none"/>
          <w:lang w:eastAsia="zh-CN"/>
        </w:rPr>
        <w:t>拒绝采购人或采购代理机构原件核查要求的；</w:t>
      </w:r>
    </w:p>
    <w:p>
      <w:pPr>
        <w:pageBreakBefore w:val="0"/>
        <w:widowControl w:val="0"/>
        <w:numPr>
          <w:ilvl w:val="0"/>
          <w:numId w:val="7"/>
        </w:numPr>
        <w:tabs>
          <w:tab w:val="left" w:pos="567"/>
          <w:tab w:val="left" w:pos="907"/>
        </w:tabs>
        <w:kinsoku/>
        <w:wordWrap/>
        <w:topLinePunct w:val="0"/>
        <w:autoSpaceDE/>
        <w:autoSpaceDN/>
        <w:bidi w:val="0"/>
        <w:adjustRightInd/>
        <w:snapToGrid/>
        <w:spacing w:after="0" w:line="400" w:lineRule="exact"/>
        <w:ind w:left="660" w:leftChars="0" w:firstLineChars="0"/>
        <w:jc w:val="both"/>
        <w:textAlignment w:val="auto"/>
        <w:rPr>
          <w:rFonts w:hint="eastAsia" w:ascii="宋体" w:hAnsi="宋体" w:eastAsia="宋体"/>
          <w:b w:val="0"/>
          <w:bCs w:val="0"/>
          <w:color w:val="auto"/>
          <w:sz w:val="21"/>
          <w:szCs w:val="21"/>
          <w:highlight w:val="none"/>
          <w:lang w:eastAsia="zh-CN"/>
        </w:rPr>
      </w:pPr>
      <w:r>
        <w:rPr>
          <w:rFonts w:hint="eastAsia" w:ascii="宋体" w:hAnsi="宋体" w:eastAsia="宋体"/>
          <w:b w:val="0"/>
          <w:bCs w:val="0"/>
          <w:color w:val="auto"/>
          <w:sz w:val="21"/>
          <w:szCs w:val="21"/>
          <w:highlight w:val="none"/>
          <w:lang w:eastAsia="zh-CN"/>
        </w:rPr>
        <w:t>未在规定时间内将原件递交到到采购代理机构办公地址或采购人指定地址进行核查的；</w:t>
      </w:r>
    </w:p>
    <w:p>
      <w:pPr>
        <w:pageBreakBefore w:val="0"/>
        <w:widowControl w:val="0"/>
        <w:numPr>
          <w:ilvl w:val="0"/>
          <w:numId w:val="7"/>
        </w:numPr>
        <w:tabs>
          <w:tab w:val="left" w:pos="567"/>
          <w:tab w:val="left" w:pos="907"/>
        </w:tabs>
        <w:kinsoku/>
        <w:wordWrap/>
        <w:topLinePunct w:val="0"/>
        <w:autoSpaceDE/>
        <w:autoSpaceDN/>
        <w:bidi w:val="0"/>
        <w:adjustRightInd/>
        <w:snapToGrid/>
        <w:spacing w:after="0" w:line="400" w:lineRule="exact"/>
        <w:ind w:left="660" w:leftChars="0" w:firstLineChars="0"/>
        <w:jc w:val="both"/>
        <w:textAlignment w:val="auto"/>
        <w:rPr>
          <w:rFonts w:hint="eastAsia" w:ascii="宋体" w:hAnsi="宋体" w:eastAsia="宋体"/>
          <w:b w:val="0"/>
          <w:bCs w:val="0"/>
          <w:color w:val="auto"/>
          <w:sz w:val="21"/>
          <w:szCs w:val="21"/>
          <w:highlight w:val="none"/>
          <w:lang w:eastAsia="zh-CN"/>
        </w:rPr>
      </w:pPr>
      <w:r>
        <w:rPr>
          <w:rFonts w:hint="eastAsia" w:ascii="宋体" w:hAnsi="宋体" w:eastAsia="宋体"/>
          <w:b w:val="0"/>
          <w:bCs w:val="0"/>
          <w:color w:val="auto"/>
          <w:sz w:val="21"/>
          <w:szCs w:val="21"/>
          <w:highlight w:val="none"/>
          <w:lang w:eastAsia="zh-CN"/>
        </w:rPr>
        <w:t>在规定时间内递交的原件数量、内容与采购人、采购代理机构要求不一致的；</w:t>
      </w:r>
    </w:p>
    <w:p>
      <w:pPr>
        <w:pageBreakBefore w:val="0"/>
        <w:widowControl w:val="0"/>
        <w:numPr>
          <w:ilvl w:val="0"/>
          <w:numId w:val="7"/>
        </w:numPr>
        <w:tabs>
          <w:tab w:val="left" w:pos="567"/>
          <w:tab w:val="left" w:pos="907"/>
        </w:tabs>
        <w:kinsoku/>
        <w:wordWrap/>
        <w:topLinePunct w:val="0"/>
        <w:autoSpaceDE/>
        <w:autoSpaceDN/>
        <w:bidi w:val="0"/>
        <w:adjustRightInd/>
        <w:snapToGrid/>
        <w:spacing w:after="0" w:line="400" w:lineRule="exact"/>
        <w:ind w:left="660" w:leftChars="0" w:firstLineChars="0"/>
        <w:jc w:val="both"/>
        <w:textAlignment w:val="auto"/>
        <w:rPr>
          <w:rFonts w:hint="eastAsia" w:ascii="宋体" w:hAnsi="宋体" w:eastAsia="宋体"/>
          <w:b w:val="0"/>
          <w:bCs w:val="0"/>
          <w:color w:val="auto"/>
          <w:sz w:val="21"/>
          <w:szCs w:val="21"/>
          <w:highlight w:val="none"/>
          <w:lang w:eastAsia="zh-CN"/>
        </w:rPr>
      </w:pPr>
      <w:r>
        <w:rPr>
          <w:rFonts w:hint="eastAsia" w:ascii="宋体" w:hAnsi="宋体" w:eastAsia="宋体"/>
          <w:b w:val="0"/>
          <w:bCs w:val="0"/>
          <w:color w:val="auto"/>
          <w:sz w:val="21"/>
          <w:szCs w:val="21"/>
          <w:highlight w:val="none"/>
          <w:lang w:val="en-US" w:eastAsia="zh-CN"/>
        </w:rPr>
        <w:t>因原件续期、更改等原因不能按时递交原件且未能在规定时间内提供相应部门开具的变更、续期等证明的；</w:t>
      </w:r>
    </w:p>
    <w:p>
      <w:pPr>
        <w:pageBreakBefore w:val="0"/>
        <w:widowControl w:val="0"/>
        <w:numPr>
          <w:ilvl w:val="0"/>
          <w:numId w:val="7"/>
        </w:numPr>
        <w:tabs>
          <w:tab w:val="left" w:pos="567"/>
          <w:tab w:val="left" w:pos="907"/>
        </w:tabs>
        <w:kinsoku/>
        <w:wordWrap/>
        <w:topLinePunct w:val="0"/>
        <w:autoSpaceDE/>
        <w:autoSpaceDN/>
        <w:bidi w:val="0"/>
        <w:adjustRightInd/>
        <w:snapToGrid/>
        <w:spacing w:after="0" w:line="400" w:lineRule="exact"/>
        <w:ind w:left="660" w:leftChars="0" w:firstLineChars="0"/>
        <w:jc w:val="both"/>
        <w:textAlignment w:val="auto"/>
        <w:rPr>
          <w:rFonts w:hint="eastAsia" w:ascii="宋体" w:hAnsi="宋体" w:eastAsia="宋体"/>
          <w:b w:val="0"/>
          <w:bCs w:val="0"/>
          <w:color w:val="auto"/>
          <w:sz w:val="21"/>
          <w:szCs w:val="21"/>
          <w:highlight w:val="none"/>
          <w:lang w:eastAsia="zh-CN"/>
        </w:rPr>
      </w:pPr>
      <w:r>
        <w:rPr>
          <w:rFonts w:hint="eastAsia" w:ascii="宋体" w:hAnsi="宋体" w:eastAsia="宋体"/>
          <w:b w:val="0"/>
          <w:bCs w:val="0"/>
          <w:color w:val="auto"/>
          <w:sz w:val="21"/>
          <w:szCs w:val="21"/>
          <w:highlight w:val="none"/>
          <w:lang w:eastAsia="zh-CN"/>
        </w:rPr>
        <w:t>经查原件，投标文件内容有造假行为的。</w:t>
      </w:r>
    </w:p>
    <w:p>
      <w:pPr>
        <w:pageBreakBefore w:val="0"/>
        <w:widowControl w:val="0"/>
        <w:numPr>
          <w:ilvl w:val="2"/>
          <w:numId w:val="3"/>
        </w:numPr>
        <w:tabs>
          <w:tab w:val="left" w:pos="567"/>
          <w:tab w:val="left" w:pos="907"/>
          <w:tab w:val="clear" w:pos="794"/>
        </w:tabs>
        <w:kinsoku/>
        <w:wordWrap/>
        <w:topLinePunct w:val="0"/>
        <w:autoSpaceDE/>
        <w:autoSpaceDN/>
        <w:bidi w:val="0"/>
        <w:adjustRightInd/>
        <w:snapToGrid/>
        <w:spacing w:after="0" w:line="400" w:lineRule="exact"/>
        <w:ind w:left="794" w:leftChars="0" w:hanging="794" w:firstLineChars="0"/>
        <w:jc w:val="both"/>
        <w:textAlignment w:val="auto"/>
        <w:rPr>
          <w:rFonts w:hint="eastAsia" w:ascii="宋体" w:hAnsi="宋体" w:eastAsia="宋体"/>
          <w:b w:val="0"/>
          <w:bCs w:val="0"/>
          <w:color w:val="auto"/>
          <w:sz w:val="21"/>
          <w:szCs w:val="21"/>
          <w:highlight w:val="none"/>
          <w:lang w:eastAsia="zh-CN"/>
        </w:rPr>
      </w:pPr>
      <w:r>
        <w:rPr>
          <w:rFonts w:hint="eastAsia" w:ascii="宋体" w:hAnsi="宋体" w:eastAsia="宋体"/>
          <w:b w:val="0"/>
          <w:bCs w:val="0"/>
          <w:color w:val="auto"/>
          <w:sz w:val="21"/>
          <w:szCs w:val="21"/>
          <w:highlight w:val="none"/>
          <w:lang w:eastAsia="zh-CN"/>
        </w:rPr>
        <w:t>采购结果发布后，采购代理机构</w:t>
      </w:r>
      <w:r>
        <w:rPr>
          <w:rFonts w:hint="eastAsia" w:ascii="宋体" w:hAnsi="宋体" w:eastAsia="宋体"/>
          <w:b w:val="0"/>
          <w:bCs w:val="0"/>
          <w:color w:val="auto"/>
          <w:sz w:val="21"/>
          <w:szCs w:val="21"/>
          <w:highlight w:val="none"/>
          <w:lang w:val="en-US" w:eastAsia="zh-CN"/>
        </w:rPr>
        <w:t>或</w:t>
      </w:r>
      <w:r>
        <w:rPr>
          <w:rFonts w:hint="eastAsia" w:ascii="宋体" w:hAnsi="宋体" w:eastAsia="宋体"/>
          <w:b w:val="0"/>
          <w:bCs w:val="0"/>
          <w:color w:val="auto"/>
          <w:sz w:val="21"/>
          <w:szCs w:val="21"/>
          <w:highlight w:val="none"/>
          <w:lang w:eastAsia="zh-CN"/>
        </w:rPr>
        <w:t>采购人有权对递交了投标文件的未中标投标人进行原件核查。投标人应在采购代理机构或采购人发出纸质通知五个工作日内将原件递交到采购代理机构办公地址或采购人指定地址进行核查。</w:t>
      </w:r>
    </w:p>
    <w:p>
      <w:pPr>
        <w:pageBreakBefore w:val="0"/>
        <w:widowControl w:val="0"/>
        <w:numPr>
          <w:ilvl w:val="2"/>
          <w:numId w:val="3"/>
        </w:numPr>
        <w:tabs>
          <w:tab w:val="left" w:pos="567"/>
          <w:tab w:val="left" w:pos="907"/>
          <w:tab w:val="clear" w:pos="794"/>
        </w:tabs>
        <w:kinsoku/>
        <w:wordWrap/>
        <w:topLinePunct w:val="0"/>
        <w:autoSpaceDE/>
        <w:autoSpaceDN/>
        <w:bidi w:val="0"/>
        <w:adjustRightInd/>
        <w:snapToGrid/>
        <w:spacing w:after="0" w:line="400" w:lineRule="exact"/>
        <w:ind w:left="794" w:leftChars="0" w:hanging="794" w:firstLineChars="0"/>
        <w:jc w:val="both"/>
        <w:textAlignment w:val="auto"/>
        <w:rPr>
          <w:rFonts w:hint="eastAsia" w:ascii="宋体" w:hAnsi="宋体" w:eastAsia="宋体"/>
          <w:b/>
          <w:bCs/>
          <w:color w:val="auto"/>
          <w:sz w:val="21"/>
          <w:szCs w:val="21"/>
          <w:highlight w:val="none"/>
          <w:lang w:eastAsia="zh-CN"/>
        </w:rPr>
      </w:pPr>
      <w:r>
        <w:rPr>
          <w:rFonts w:hint="eastAsia" w:ascii="宋体" w:hAnsi="宋体" w:eastAsia="宋体"/>
          <w:b/>
          <w:bCs/>
          <w:color w:val="auto"/>
          <w:sz w:val="21"/>
          <w:szCs w:val="21"/>
          <w:highlight w:val="none"/>
          <w:lang w:eastAsia="zh-CN"/>
        </w:rPr>
        <w:t>若投标人出现虚假应标情况，投标文件作无效处理，其投标、中标无效。并根据相关法律上报相关监管部门。</w:t>
      </w:r>
    </w:p>
    <w:p>
      <w:pPr>
        <w:pageBreakBefore w:val="0"/>
        <w:widowControl w:val="0"/>
        <w:numPr>
          <w:ilvl w:val="2"/>
          <w:numId w:val="3"/>
        </w:numPr>
        <w:tabs>
          <w:tab w:val="left" w:pos="567"/>
          <w:tab w:val="left" w:pos="907"/>
          <w:tab w:val="clear" w:pos="794"/>
        </w:tabs>
        <w:kinsoku/>
        <w:wordWrap/>
        <w:topLinePunct w:val="0"/>
        <w:autoSpaceDE/>
        <w:autoSpaceDN/>
        <w:bidi w:val="0"/>
        <w:adjustRightInd/>
        <w:snapToGrid/>
        <w:spacing w:after="0" w:line="400" w:lineRule="exact"/>
        <w:ind w:left="794" w:leftChars="0" w:hanging="794" w:firstLineChars="0"/>
        <w:jc w:val="both"/>
        <w:textAlignment w:val="auto"/>
        <w:rPr>
          <w:rFonts w:hint="eastAsia"/>
          <w:b w:val="0"/>
          <w:bCs w:val="0"/>
          <w:color w:val="auto"/>
          <w:highlight w:val="none"/>
          <w:lang w:eastAsia="zh-CN"/>
        </w:rPr>
      </w:pPr>
      <w:r>
        <w:rPr>
          <w:rFonts w:hint="eastAsia" w:ascii="宋体" w:hAnsi="宋体" w:eastAsia="宋体"/>
          <w:b w:val="0"/>
          <w:bCs w:val="0"/>
          <w:color w:val="auto"/>
          <w:sz w:val="21"/>
          <w:szCs w:val="21"/>
          <w:highlight w:val="none"/>
          <w:lang w:eastAsia="zh-CN"/>
        </w:rPr>
        <w:t>属于建办市函[2016]462号通知内的证件可不提供原件，仅提供带二维码原件的复印件即可。</w:t>
      </w:r>
    </w:p>
    <w:p>
      <w:pPr>
        <w:pageBreakBefore w:val="0"/>
        <w:kinsoku/>
        <w:wordWrap/>
        <w:topLinePunct w:val="0"/>
        <w:autoSpaceDE/>
        <w:autoSpaceDN/>
        <w:bidi w:val="0"/>
        <w:spacing w:line="400" w:lineRule="exact"/>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72" w:name="_Toc8411"/>
      <w:r>
        <w:rPr>
          <w:rFonts w:hint="eastAsia" w:ascii="宋体" w:hAnsi="宋体" w:eastAsia="宋体"/>
          <w:color w:val="auto"/>
          <w:sz w:val="21"/>
          <w:szCs w:val="21"/>
          <w:highlight w:val="none"/>
        </w:rPr>
        <w:t>31.合同的签订与履行</w:t>
      </w:r>
      <w:bookmarkEnd w:id="72"/>
    </w:p>
    <w:p>
      <w:pPr>
        <w:pStyle w:val="25"/>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采购人应当自采购结果公示发出之日起30日内，按照招标文件和中标人投标文件的规定，与中标人签订书面合同。所签订的合同不得对招标文件确定的事项和中标人投标文件作实质性修改。</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采购人与中标人应当根据合同的约定依法履行合同义务。</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政府采购合同的履行、违约责任和解决争议的方法等适用《中华人民共和国</w:t>
      </w:r>
      <w:r>
        <w:rPr>
          <w:rFonts w:hint="eastAsia" w:ascii="宋体" w:hAnsi="宋体" w:eastAsia="宋体"/>
          <w:color w:val="auto"/>
          <w:sz w:val="21"/>
          <w:szCs w:val="21"/>
          <w:highlight w:val="none"/>
          <w:lang w:eastAsia="zh-CN"/>
        </w:rPr>
        <w:t>民法典</w:t>
      </w:r>
      <w:r>
        <w:rPr>
          <w:rFonts w:hint="eastAsia" w:ascii="宋体" w:hAnsi="宋体" w:eastAsia="宋体"/>
          <w:color w:val="auto"/>
          <w:sz w:val="21"/>
          <w:szCs w:val="21"/>
          <w:highlight w:val="none"/>
        </w:rPr>
        <w:t>》。</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合同签订之日起2个工作日内，中标人应将所签订的合同副本（加盖公章）交至三方诚信招标有限公司东莞分公司归档。</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投标人根据招标文件的规定和采购项目的实际情况，拟在中标后将中标项目的非主体、非关键性工作分包的，应当在投标文件中载明分包承担主体，分包承担主体应当具备相应资质条件且不得再次分包。</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中标投标人在评审结束当天至合同履行结束，若因不可抗力的因素（如国家出台新法律法规等）造</w:t>
      </w:r>
      <w:r>
        <w:rPr>
          <w:rFonts w:hint="eastAsia" w:ascii="宋体" w:hAnsi="宋体" w:eastAsia="宋体"/>
          <w:color w:val="auto"/>
          <w:sz w:val="21"/>
          <w:szCs w:val="21"/>
          <w:highlight w:val="none"/>
          <w:lang w:eastAsia="zh-CN"/>
        </w:rPr>
        <w:t>成投标人资质的变动，投标人应以纸质版形式通知采购人。若资质变动导致中标投标人不再具备履行合同资质要求，采购人有权中止合同。</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中标人拒绝与采购人签订合同的，采购人可以按照评审报告推荐的中标候选人名单排序，确定下一候选人为中标人，也可以重新开展政府采购活动。</w:t>
      </w:r>
    </w:p>
    <w:p>
      <w:pPr>
        <w:pageBreakBefore w:val="0"/>
        <w:kinsoku/>
        <w:wordWrap/>
        <w:topLinePunct w:val="0"/>
        <w:autoSpaceDE/>
        <w:autoSpaceDN/>
        <w:bidi w:val="0"/>
        <w:spacing w:line="400" w:lineRule="exact"/>
        <w:textAlignment w:val="auto"/>
        <w:rPr>
          <w:color w:val="auto"/>
          <w:highlight w:val="none"/>
        </w:rPr>
      </w:pPr>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73" w:name="_Toc303084277"/>
      <w:bookmarkStart w:id="74" w:name="_Toc29009"/>
      <w:bookmarkStart w:id="75" w:name="_Toc8004"/>
      <w:bookmarkStart w:id="76" w:name="_Toc382049124"/>
      <w:r>
        <w:rPr>
          <w:rFonts w:hint="eastAsia" w:ascii="宋体" w:hAnsi="宋体" w:eastAsia="宋体"/>
          <w:color w:val="auto"/>
          <w:sz w:val="21"/>
          <w:szCs w:val="21"/>
          <w:highlight w:val="none"/>
        </w:rPr>
        <w:t>32.</w:t>
      </w:r>
      <w:r>
        <w:rPr>
          <w:rFonts w:ascii="宋体" w:hAnsi="宋体" w:eastAsia="宋体"/>
          <w:color w:val="auto"/>
          <w:sz w:val="21"/>
          <w:szCs w:val="21"/>
          <w:highlight w:val="none"/>
        </w:rPr>
        <w:t>履约</w:t>
      </w:r>
      <w:r>
        <w:rPr>
          <w:rFonts w:hint="eastAsia" w:ascii="宋体" w:hAnsi="宋体" w:eastAsia="宋体"/>
          <w:color w:val="auto"/>
          <w:sz w:val="21"/>
          <w:szCs w:val="21"/>
          <w:highlight w:val="none"/>
        </w:rPr>
        <w:t>保证金</w:t>
      </w:r>
      <w:bookmarkEnd w:id="73"/>
      <w:bookmarkEnd w:id="74"/>
      <w:bookmarkEnd w:id="75"/>
      <w:bookmarkEnd w:id="76"/>
    </w:p>
    <w:p>
      <w:pPr>
        <w:pStyle w:val="25"/>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中标人应在领取中标通知书之后签订合同之前递交履约保证金（履约保函的提交与履约保证金的提交时间一致）。给采购人造成的损失超过投标担保数额的，还应当由其对超过部分予以赔偿，并依法追究其责任。中标人应在汇入履约保证金时在汇款单备注中注明：中标项目名称及中标项目编号。</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采用保证金（银行</w:t>
      </w:r>
      <w:r>
        <w:rPr>
          <w:rFonts w:hint="eastAsia" w:ascii="宋体" w:hAnsi="宋体" w:eastAsia="宋体"/>
          <w:color w:val="auto"/>
          <w:sz w:val="21"/>
          <w:szCs w:val="21"/>
          <w:highlight w:val="none"/>
          <w:lang w:eastAsia="zh-CN"/>
        </w:rPr>
        <w:t>转账</w:t>
      </w:r>
      <w:r>
        <w:rPr>
          <w:rFonts w:hint="eastAsia" w:ascii="宋体" w:hAnsi="宋体" w:eastAsia="宋体"/>
          <w:color w:val="auto"/>
          <w:sz w:val="21"/>
          <w:szCs w:val="21"/>
          <w:highlight w:val="none"/>
        </w:rPr>
        <w:t>、电汇）方式：中标人必须保证资金在签订合同前到</w:t>
      </w:r>
      <w:r>
        <w:rPr>
          <w:rFonts w:hint="eastAsia" w:ascii="宋体" w:hAnsi="宋体" w:eastAsia="宋体"/>
          <w:color w:val="auto"/>
          <w:sz w:val="21"/>
          <w:szCs w:val="21"/>
          <w:highlight w:val="none"/>
          <w:lang w:eastAsia="zh-CN"/>
        </w:rPr>
        <w:t>账</w:t>
      </w:r>
      <w:r>
        <w:rPr>
          <w:rFonts w:hint="eastAsia" w:ascii="宋体" w:hAnsi="宋体" w:eastAsia="宋体"/>
          <w:color w:val="auto"/>
          <w:sz w:val="21"/>
          <w:szCs w:val="21"/>
          <w:highlight w:val="none"/>
        </w:rPr>
        <w:t>。履约保证金账户采购人另行通知，到期后无息退还。</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用履约保函方式：履约担保。是指由担保机构为供应商交纳履约保证金向采购人或采购代理机构提供的保证担保。供应商未按政府采购合同履行约定义务的，由担保机构按照担保函约定履行支付履约保证金的责任。（投标担保格式详见附件《政府采购投标担保函》）</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中标人须将履约保证金的汇款凭证 (注明中标通知书或项目编号)或履约保函（采购人注明原件已收到并盖章）用A4纸复印一式四份并加盖中标人的公章送至采购代理机构。</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履约保证金退回：履约保证金在项目验收合格后，中标人向采购人提交退回履约保证金的申请、履约保证金汇款凭证复印件、采购合同、采购项目验收报告原件、中标通知书复印件，前往采购人办理履约保证金</w:t>
      </w:r>
      <w:r>
        <w:rPr>
          <w:rFonts w:hint="eastAsia" w:ascii="宋体" w:hAnsi="宋体" w:eastAsia="宋体"/>
          <w:color w:val="auto"/>
          <w:sz w:val="21"/>
          <w:szCs w:val="21"/>
          <w:highlight w:val="none"/>
          <w:lang w:val="en-US" w:eastAsia="zh-CN"/>
        </w:rPr>
        <w:t xml:space="preserve"> </w:t>
      </w:r>
      <w:r>
        <w:rPr>
          <w:rFonts w:hint="eastAsia" w:ascii="宋体" w:hAnsi="宋体" w:eastAsia="宋体"/>
          <w:color w:val="auto"/>
          <w:sz w:val="21"/>
          <w:szCs w:val="21"/>
          <w:highlight w:val="none"/>
        </w:rPr>
        <w:t>退还手续。</w:t>
      </w:r>
    </w:p>
    <w:p>
      <w:pPr>
        <w:pageBreakBefore w:val="0"/>
        <w:kinsoku/>
        <w:topLinePunct w:val="0"/>
        <w:autoSpaceDE/>
        <w:autoSpaceDN/>
        <w:bidi w:val="0"/>
        <w:spacing w:line="360" w:lineRule="auto"/>
        <w:rPr>
          <w:color w:val="auto"/>
          <w:highlight w:val="none"/>
        </w:rPr>
      </w:pPr>
    </w:p>
    <w:p>
      <w:pPr>
        <w:pStyle w:val="4"/>
        <w:keepNext/>
        <w:keepLines/>
        <w:pageBreakBefore w:val="0"/>
        <w:widowControl/>
        <w:numPr>
          <w:ilvl w:val="0"/>
          <w:numId w:val="2"/>
        </w:numPr>
        <w:kinsoku/>
        <w:wordWrap/>
        <w:overflowPunct/>
        <w:topLinePunct w:val="0"/>
        <w:autoSpaceDE/>
        <w:autoSpaceDN/>
        <w:bidi w:val="0"/>
        <w:adjustRightInd w:val="0"/>
        <w:snapToGrid w:val="0"/>
        <w:spacing w:before="0" w:after="0" w:line="360" w:lineRule="auto"/>
        <w:ind w:left="0" w:firstLine="0"/>
        <w:jc w:val="center"/>
        <w:textAlignment w:val="auto"/>
        <w:rPr>
          <w:rFonts w:ascii="宋体" w:hAnsi="宋体" w:eastAsia="宋体"/>
          <w:color w:val="auto"/>
          <w:highlight w:val="none"/>
        </w:rPr>
      </w:pPr>
      <w:bookmarkStart w:id="77" w:name="_Toc5276"/>
      <w:r>
        <w:rPr>
          <w:rFonts w:hint="eastAsia" w:ascii="宋体" w:hAnsi="宋体" w:eastAsia="宋体"/>
          <w:color w:val="auto"/>
          <w:highlight w:val="none"/>
        </w:rPr>
        <w:t>其他</w:t>
      </w:r>
      <w:bookmarkEnd w:id="77"/>
    </w:p>
    <w:p>
      <w:pPr>
        <w:pStyle w:val="5"/>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highlight w:val="none"/>
        </w:rPr>
      </w:pPr>
      <w:bookmarkStart w:id="78" w:name="_Toc19434"/>
      <w:r>
        <w:rPr>
          <w:rFonts w:hint="eastAsia" w:ascii="宋体" w:hAnsi="宋体" w:eastAsia="宋体"/>
          <w:color w:val="auto"/>
          <w:sz w:val="21"/>
          <w:szCs w:val="21"/>
          <w:highlight w:val="none"/>
        </w:rPr>
        <w:t>35.招标文件的解释权</w:t>
      </w:r>
      <w:bookmarkEnd w:id="78"/>
    </w:p>
    <w:p>
      <w:pPr>
        <w:pStyle w:val="25"/>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highlight w:val="none"/>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招标文件版本号：三方诚信</w:t>
      </w:r>
      <w:r>
        <w:rPr>
          <w:rFonts w:hint="eastAsia" w:ascii="宋体" w:hAnsi="宋体" w:eastAsia="宋体"/>
          <w:color w:val="auto"/>
          <w:sz w:val="21"/>
          <w:szCs w:val="21"/>
          <w:highlight w:val="none"/>
          <w:lang w:eastAsia="zh-CN"/>
        </w:rPr>
        <w:t>202</w:t>
      </w:r>
      <w:r>
        <w:rPr>
          <w:rFonts w:hint="eastAsia" w:ascii="宋体" w:hAnsi="宋体" w:eastAsia="宋体"/>
          <w:color w:val="auto"/>
          <w:sz w:val="21"/>
          <w:szCs w:val="21"/>
          <w:highlight w:val="none"/>
          <w:lang w:val="en-US" w:eastAsia="zh-CN"/>
        </w:rPr>
        <w:t>10813</w:t>
      </w:r>
      <w:r>
        <w:rPr>
          <w:rFonts w:hint="eastAsia" w:ascii="宋体" w:hAnsi="宋体" w:eastAsia="宋体"/>
          <w:color w:val="auto"/>
          <w:sz w:val="21"/>
          <w:szCs w:val="21"/>
          <w:highlight w:val="none"/>
        </w:rPr>
        <w:t>。</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本招标文件是</w:t>
      </w:r>
      <w:r>
        <w:rPr>
          <w:rFonts w:hint="eastAsia" w:ascii="宋体" w:hAnsi="宋体" w:eastAsia="宋体"/>
          <w:color w:val="auto"/>
          <w:sz w:val="21"/>
          <w:szCs w:val="21"/>
          <w:highlight w:val="none"/>
          <w:lang w:eastAsia="zh-CN"/>
        </w:rPr>
        <w:t>参照</w:t>
      </w:r>
      <w:r>
        <w:rPr>
          <w:rFonts w:hint="eastAsia" w:ascii="宋体" w:hAnsi="宋体" w:eastAsia="宋体"/>
          <w:color w:val="auto"/>
          <w:sz w:val="21"/>
          <w:szCs w:val="21"/>
          <w:highlight w:val="none"/>
        </w:rPr>
        <w:t>国家有关法律、法规以及政府采购管理有关规定和参照国际惯例编制，解释权属本采购代理机构。</w:t>
      </w:r>
    </w:p>
    <w:p>
      <w:pPr>
        <w:pageBreakBefore w:val="0"/>
        <w:widowControl w:val="0"/>
        <w:numPr>
          <w:ilvl w:val="1"/>
          <w:numId w:val="3"/>
        </w:numPr>
        <w:tabs>
          <w:tab w:val="left" w:pos="907"/>
        </w:tabs>
        <w:kinsoku/>
        <w:topLinePunct w:val="0"/>
        <w:autoSpaceDE/>
        <w:autoSpaceDN/>
        <w:bidi w:val="0"/>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Style w:val="3"/>
        <w:pageBreakBefore w:val="0"/>
        <w:numPr>
          <w:ilvl w:val="0"/>
          <w:numId w:val="8"/>
        </w:numPr>
        <w:kinsoku/>
        <w:topLinePunct w:val="0"/>
        <w:autoSpaceDE/>
        <w:autoSpaceDN/>
        <w:bidi w:val="0"/>
        <w:spacing w:before="0" w:after="0" w:line="360" w:lineRule="auto"/>
        <w:rPr>
          <w:rFonts w:hint="eastAsia"/>
          <w:color w:val="auto"/>
          <w:sz w:val="28"/>
          <w:szCs w:val="28"/>
          <w:highlight w:val="none"/>
        </w:rPr>
      </w:pPr>
      <w:bookmarkStart w:id="79" w:name="_Toc12226"/>
      <w:r>
        <w:rPr>
          <w:rFonts w:hint="eastAsia"/>
          <w:color w:val="auto"/>
          <w:sz w:val="28"/>
          <w:szCs w:val="28"/>
          <w:highlight w:val="none"/>
        </w:rPr>
        <w:t>合同格式</w:t>
      </w:r>
      <w:bookmarkEnd w:id="79"/>
      <w:bookmarkStart w:id="80" w:name="_Toc13430"/>
      <w:bookmarkStart w:id="81" w:name="_Toc1534"/>
      <w:bookmarkStart w:id="82" w:name="_Toc21155"/>
    </w:p>
    <w:p>
      <w:pPr>
        <w:pageBreakBefore w:val="0"/>
        <w:numPr>
          <w:ilvl w:val="0"/>
          <w:numId w:val="0"/>
        </w:numPr>
        <w:kinsoku/>
        <w:topLinePunct w:val="0"/>
        <w:autoSpaceDE/>
        <w:autoSpaceDN/>
        <w:bidi w:val="0"/>
        <w:spacing w:before="0" w:after="0" w:line="360" w:lineRule="auto"/>
        <w:jc w:val="center"/>
        <w:outlineLvl w:val="9"/>
        <w:rPr>
          <w:color w:val="auto"/>
          <w:highlight w:val="none"/>
        </w:rPr>
      </w:pPr>
      <w:r>
        <w:rPr>
          <w:rFonts w:hint="eastAsia" w:ascii="宋体" w:hAnsi="宋体" w:eastAsia="宋体" w:cs="宋体"/>
          <w:b/>
          <w:bCs/>
          <w:color w:val="auto"/>
          <w:sz w:val="28"/>
          <w:szCs w:val="28"/>
          <w:highlight w:val="none"/>
        </w:rPr>
        <w:t>（本格式编排在招标文件中，供投标人参考，投标时不需填写）</w:t>
      </w:r>
    </w:p>
    <w:p>
      <w:pPr>
        <w:pStyle w:val="4"/>
        <w:pageBreakBefore w:val="0"/>
        <w:kinsoku/>
        <w:topLinePunct w:val="0"/>
        <w:autoSpaceDE/>
        <w:autoSpaceDN/>
        <w:bidi w:val="0"/>
        <w:spacing w:before="0" w:after="0" w:line="360" w:lineRule="auto"/>
        <w:jc w:val="center"/>
        <w:rPr>
          <w:rFonts w:ascii="宋体" w:hAnsi="宋体" w:eastAsia="宋体" w:cs="宋体"/>
          <w:color w:val="auto"/>
          <w:highlight w:val="none"/>
        </w:rPr>
      </w:pPr>
      <w:bookmarkStart w:id="83" w:name="_Toc19043"/>
      <w:r>
        <w:rPr>
          <w:rFonts w:hint="eastAsia" w:ascii="宋体" w:hAnsi="宋体" w:eastAsia="宋体" w:cs="宋体"/>
          <w:color w:val="auto"/>
          <w:highlight w:val="none"/>
        </w:rPr>
        <w:t>合同格式</w:t>
      </w:r>
      <w:bookmarkEnd w:id="80"/>
      <w:bookmarkEnd w:id="81"/>
      <w:bookmarkEnd w:id="82"/>
      <w:bookmarkEnd w:id="83"/>
    </w:p>
    <w:p>
      <w:pPr>
        <w:keepNext w:val="0"/>
        <w:keepLines w:val="0"/>
        <w:pageBreakBefore w:val="0"/>
        <w:kinsoku/>
        <w:wordWrap/>
        <w:overflowPunct/>
        <w:topLinePunct w:val="0"/>
        <w:autoSpaceDE/>
        <w:autoSpaceDN/>
        <w:bidi w:val="0"/>
        <w:spacing w:line="400" w:lineRule="exact"/>
        <w:ind w:right="56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合同编号：</w:t>
      </w:r>
    </w:p>
    <w:p>
      <w:pPr>
        <w:keepNext w:val="0"/>
        <w:keepLines w:val="0"/>
        <w:pageBreakBefore w:val="0"/>
        <w:kinsoku/>
        <w:wordWrap/>
        <w:overflowPunct/>
        <w:topLinePunct w:val="0"/>
        <w:autoSpaceDE/>
        <w:autoSpaceDN/>
        <w:bidi w:val="0"/>
        <w:spacing w:line="400" w:lineRule="exact"/>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甲方：</w:t>
      </w:r>
    </w:p>
    <w:p>
      <w:pPr>
        <w:keepNext w:val="0"/>
        <w:keepLines w:val="0"/>
        <w:pageBreakBefore w:val="0"/>
        <w:kinsoku/>
        <w:wordWrap/>
        <w:overflowPunct/>
        <w:topLinePunct w:val="0"/>
        <w:autoSpaceDE/>
        <w:autoSpaceDN/>
        <w:bidi w:val="0"/>
        <w:spacing w:line="400" w:lineRule="exact"/>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乙方：“ </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”为中标单位</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受甲方委托，</w:t>
      </w:r>
      <w:r>
        <w:rPr>
          <w:rFonts w:hint="eastAsia" w:ascii="宋体" w:hAnsi="宋体" w:eastAsia="宋体"/>
          <w:color w:val="auto"/>
          <w:sz w:val="21"/>
          <w:szCs w:val="21"/>
          <w:highlight w:val="none"/>
          <w:u w:val="single"/>
        </w:rPr>
        <w:t xml:space="preserve">           (采购代理机构)</w:t>
      </w:r>
      <w:r>
        <w:rPr>
          <w:rFonts w:hint="eastAsia" w:ascii="宋体" w:hAnsi="宋体" w:eastAsia="宋体"/>
          <w:color w:val="auto"/>
          <w:sz w:val="21"/>
          <w:szCs w:val="21"/>
          <w:highlight w:val="none"/>
        </w:rPr>
        <w:t>组织对</w:t>
      </w:r>
      <w:r>
        <w:rPr>
          <w:rFonts w:hint="eastAsia" w:ascii="宋体" w:hAnsi="宋体" w:eastAsia="宋体"/>
          <w:color w:val="auto"/>
          <w:sz w:val="21"/>
          <w:szCs w:val="21"/>
          <w:highlight w:val="none"/>
          <w:u w:val="single"/>
        </w:rPr>
        <w:t xml:space="preserve">         （项目名称）</w:t>
      </w:r>
      <w:r>
        <w:rPr>
          <w:rFonts w:hint="eastAsia" w:ascii="宋体" w:hAnsi="宋体" w:eastAsia="宋体"/>
          <w:color w:val="auto"/>
          <w:sz w:val="21"/>
          <w:szCs w:val="21"/>
          <w:highlight w:val="none"/>
        </w:rPr>
        <w:t>采购项目（采购项目编号为</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）进行采购，于</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年</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日通过公开招标，经评标委员会评定乙方</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为中标单位。为了保护甲、乙双方合法权益，根据《中华人民共和国政府采购法》及其实施条例、《中华人民共和国</w:t>
      </w:r>
      <w:r>
        <w:rPr>
          <w:rFonts w:hint="eastAsia" w:eastAsia="宋体"/>
          <w:color w:val="auto"/>
          <w:highlight w:val="none"/>
          <w:lang w:eastAsia="zh-CN"/>
        </w:rPr>
        <w:t>民法典</w:t>
      </w:r>
      <w:r>
        <w:rPr>
          <w:rFonts w:hint="eastAsia" w:ascii="宋体" w:hAnsi="宋体" w:eastAsia="宋体"/>
          <w:color w:val="auto"/>
          <w:sz w:val="21"/>
          <w:szCs w:val="21"/>
          <w:highlight w:val="none"/>
        </w:rPr>
        <w:t>》，在平等自愿的基础上，按照下面的条款和条件，签署本合同。</w:t>
      </w:r>
    </w:p>
    <w:p>
      <w:pPr>
        <w:keepNext w:val="0"/>
        <w:keepLines w:val="0"/>
        <w:pageBreakBefore w:val="0"/>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第一条 合同项目</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1、项目名称：                              ；</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2、采购项目编号：                   。</w:t>
      </w:r>
    </w:p>
    <w:p>
      <w:pPr>
        <w:keepNext w:val="0"/>
        <w:keepLines w:val="0"/>
        <w:pageBreakBefore w:val="0"/>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第二条 合同组成</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1、合同文件组成内容包括：本合同书 、中标通知书、投标文件（含澄清内容）、招标文件（含招标文件澄清通知）等。</w:t>
      </w:r>
    </w:p>
    <w:p>
      <w:pPr>
        <w:keepNext w:val="0"/>
        <w:keepLines w:val="0"/>
        <w:pageBreakBefore w:val="0"/>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bookmarkStart w:id="84" w:name="_Toc86481558"/>
      <w:r>
        <w:rPr>
          <w:rFonts w:hint="eastAsia" w:ascii="宋体" w:hAnsi="宋体" w:eastAsia="宋体"/>
          <w:b/>
          <w:color w:val="auto"/>
          <w:sz w:val="21"/>
          <w:szCs w:val="21"/>
          <w:highlight w:val="none"/>
        </w:rPr>
        <w:t>第三条 服务内容、标准及要求</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s="仿宋"/>
          <w:color w:val="auto"/>
          <w:sz w:val="21"/>
          <w:szCs w:val="21"/>
          <w:highlight w:val="none"/>
          <w:u w:val="single"/>
          <w:shd w:val="clear" w:color="auto" w:fill="FFFFFF"/>
        </w:rPr>
      </w:pPr>
      <w:r>
        <w:rPr>
          <w:rFonts w:hint="eastAsia" w:ascii="宋体" w:hAnsi="宋体" w:eastAsia="宋体" w:cs="仿宋"/>
          <w:color w:val="auto"/>
          <w:sz w:val="21"/>
          <w:szCs w:val="21"/>
          <w:highlight w:val="none"/>
          <w:shd w:val="clear" w:color="auto" w:fill="FFFFFF"/>
        </w:rPr>
        <w:t>1、采购内容：</w:t>
      </w:r>
      <w:r>
        <w:rPr>
          <w:rFonts w:hint="eastAsia" w:ascii="宋体" w:hAnsi="宋体" w:eastAsia="宋体" w:cs="仿宋"/>
          <w:color w:val="auto"/>
          <w:sz w:val="21"/>
          <w:szCs w:val="21"/>
          <w:highlight w:val="none"/>
          <w:u w:val="single"/>
          <w:shd w:val="clear" w:color="auto" w:fill="FFFFFF"/>
        </w:rPr>
        <w:t xml:space="preserve">                                                     。</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s="仿宋"/>
          <w:color w:val="auto"/>
          <w:sz w:val="21"/>
          <w:szCs w:val="21"/>
          <w:highlight w:val="none"/>
          <w:shd w:val="clear" w:color="auto" w:fill="FFFFFF"/>
        </w:rPr>
      </w:pPr>
      <w:r>
        <w:rPr>
          <w:rFonts w:hint="eastAsia" w:ascii="宋体" w:hAnsi="宋体" w:eastAsia="宋体" w:cs="仿宋"/>
          <w:color w:val="auto"/>
          <w:sz w:val="21"/>
          <w:szCs w:val="21"/>
          <w:highlight w:val="none"/>
          <w:shd w:val="clear" w:color="auto" w:fill="FFFFFF"/>
        </w:rPr>
        <w:t>2、采购标准：</w:t>
      </w:r>
      <w:r>
        <w:rPr>
          <w:rFonts w:hint="eastAsia" w:ascii="宋体" w:hAnsi="宋体" w:eastAsia="宋体" w:cs="仿宋"/>
          <w:color w:val="auto"/>
          <w:sz w:val="21"/>
          <w:szCs w:val="21"/>
          <w:highlight w:val="none"/>
          <w:u w:val="single"/>
          <w:shd w:val="clear" w:color="auto" w:fill="FFFFFF"/>
        </w:rPr>
        <w:t xml:space="preserve">                                                       。</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s="仿宋"/>
          <w:color w:val="auto"/>
          <w:sz w:val="21"/>
          <w:szCs w:val="21"/>
          <w:highlight w:val="none"/>
          <w:shd w:val="clear" w:color="auto" w:fill="FFFFFF"/>
        </w:rPr>
      </w:pPr>
      <w:r>
        <w:rPr>
          <w:rFonts w:hint="eastAsia" w:ascii="宋体" w:hAnsi="宋体" w:eastAsia="宋体" w:cs="仿宋"/>
          <w:color w:val="auto"/>
          <w:sz w:val="21"/>
          <w:szCs w:val="21"/>
          <w:highlight w:val="none"/>
          <w:shd w:val="clear" w:color="auto" w:fill="FFFFFF"/>
        </w:rPr>
        <w:t>3、采购要求：</w:t>
      </w:r>
      <w:r>
        <w:rPr>
          <w:rFonts w:hint="eastAsia" w:ascii="宋体" w:hAnsi="宋体" w:eastAsia="宋体" w:cs="仿宋"/>
          <w:color w:val="auto"/>
          <w:sz w:val="21"/>
          <w:szCs w:val="21"/>
          <w:highlight w:val="none"/>
          <w:u w:val="single"/>
          <w:shd w:val="clear" w:color="auto" w:fill="FFFFFF"/>
        </w:rPr>
        <w:t xml:space="preserve">                                                    。</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s="仿宋"/>
          <w:color w:val="auto"/>
          <w:sz w:val="21"/>
          <w:szCs w:val="21"/>
          <w:highlight w:val="none"/>
          <w:shd w:val="clear" w:color="auto" w:fill="FFFFFF"/>
        </w:rPr>
      </w:pPr>
      <w:r>
        <w:rPr>
          <w:rFonts w:hint="eastAsia" w:ascii="宋体" w:hAnsi="宋体" w:eastAsia="宋体" w:cs="仿宋"/>
          <w:color w:val="auto"/>
          <w:sz w:val="21"/>
          <w:szCs w:val="21"/>
          <w:highlight w:val="none"/>
          <w:shd w:val="clear" w:color="auto" w:fill="FFFFFF"/>
        </w:rPr>
        <w:t>4、具体采购内容采购标准及要求以招标文件用户需求书及乙方投标文件承诺条款及方案为准。</w:t>
      </w:r>
    </w:p>
    <w:p>
      <w:pPr>
        <w:keepNext w:val="0"/>
        <w:keepLines w:val="0"/>
        <w:pageBreakBefore w:val="0"/>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第四条 价格</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s="仿宋"/>
          <w:color w:val="auto"/>
          <w:sz w:val="21"/>
          <w:szCs w:val="21"/>
          <w:highlight w:val="none"/>
          <w:shd w:val="clear" w:color="auto" w:fill="FFFFFF"/>
        </w:rPr>
      </w:pPr>
      <w:r>
        <w:rPr>
          <w:rFonts w:hint="eastAsia" w:ascii="宋体" w:hAnsi="宋体" w:eastAsia="宋体" w:cs="仿宋"/>
          <w:color w:val="auto"/>
          <w:sz w:val="21"/>
          <w:szCs w:val="21"/>
          <w:highlight w:val="none"/>
          <w:shd w:val="clear" w:color="auto" w:fill="FFFFFF"/>
        </w:rPr>
        <w:t>1、合同总价包含：人工费、材料费、设备使用费、各种税费、保险费及合同实施过程中的不可预见费用等全部费用，按本次招标范围及中标价一次包干，结算时不作调整。</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2、合同总价：（人民币）大写 </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3、本合同价为固定不变价。</w:t>
      </w:r>
    </w:p>
    <w:p>
      <w:pPr>
        <w:keepNext w:val="0"/>
        <w:keepLines w:val="0"/>
        <w:pageBreakBefore w:val="0"/>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第五条 服务期限及地点</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1、服务期：  年，合同生效之日自       年  月  日至     年  月  日止。</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2、服务地点：              或甲方指定地点。</w:t>
      </w:r>
    </w:p>
    <w:p>
      <w:pPr>
        <w:keepNext w:val="0"/>
        <w:keepLines w:val="0"/>
        <w:pageBreakBefore w:val="0"/>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第六条 付款方式</w:t>
      </w:r>
    </w:p>
    <w:p>
      <w:pPr>
        <w:pStyle w:val="16"/>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rPr>
        <w:t>1、本合同的付款方式为：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pPr>
        <w:pStyle w:val="16"/>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rPr>
        <w:t>2、付款前乙方应向甲方提出请款申请及所需的材料和等额合格发票。本合同的经费由政府拨款，如因政策影响，拨款未能及时到位，乙方不得以此为由而不履行本合同规定的义务。否则，甲方按规定扣罚。如果乙方怠于或者拒绝提供资料或者办理手续的，则因此产生的付款迟延的责任全部由乙方承担。</w:t>
      </w:r>
    </w:p>
    <w:p>
      <w:pPr>
        <w:keepNext w:val="0"/>
        <w:keepLines w:val="0"/>
        <w:pageBreakBefore w:val="0"/>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第七条 验收方式</w:t>
      </w:r>
    </w:p>
    <w:p>
      <w:pPr>
        <w:pStyle w:val="16"/>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rPr>
        <w:t>1、验收应在甲乙双方共同参加下进行，依据招标文件及本合同的有关规定制定的方案进行验收，并按国家有关规定、规范进行。</w:t>
      </w:r>
    </w:p>
    <w:p>
      <w:pPr>
        <w:pStyle w:val="16"/>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rPr>
        <w:t>2、甲方组织项目验收小组按国家有关规定、规范进行验收，必要时邀请相关专业人员或机构参与验收。</w:t>
      </w:r>
    </w:p>
    <w:p>
      <w:pPr>
        <w:pStyle w:val="16"/>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rPr>
        <w:t>3、对验收不合格的部分，乙方应在甲方规定时间内及时整改完善直至合格。</w:t>
      </w:r>
    </w:p>
    <w:p>
      <w:pPr>
        <w:keepNext w:val="0"/>
        <w:keepLines w:val="0"/>
        <w:pageBreakBefore w:val="0"/>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第八条 税和关税</w:t>
      </w:r>
    </w:p>
    <w:p>
      <w:pPr>
        <w:pStyle w:val="16"/>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rPr>
        <w:t>1、中国政府根据现行税法对甲方征收的与本合同有关的一切税费均应由甲方承担。</w:t>
      </w:r>
    </w:p>
    <w:p>
      <w:pPr>
        <w:pStyle w:val="16"/>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rPr>
        <w:t>2、中国政府根据现行税法规定对乙方或其雇员征收的与本合同有关的一切税费应由乙方承担。</w:t>
      </w:r>
    </w:p>
    <w:p>
      <w:pPr>
        <w:pStyle w:val="16"/>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rPr>
        <w:t>3、在中国境外发生的与本合同执行有关的一切税费均应由乙方承担。</w:t>
      </w:r>
    </w:p>
    <w:p>
      <w:pPr>
        <w:keepNext w:val="0"/>
        <w:keepLines w:val="0"/>
        <w:pageBreakBefore w:val="0"/>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第九条 其它约定</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ascii="宋体" w:hAnsi="宋体" w:eastAsia="宋体"/>
          <w:color w:val="auto"/>
          <w:sz w:val="21"/>
          <w:szCs w:val="21"/>
          <w:highlight w:val="none"/>
        </w:rPr>
        <w:t>1</w:t>
      </w:r>
      <w:r>
        <w:rPr>
          <w:rFonts w:hint="eastAsia" w:ascii="宋体" w:hAnsi="宋体" w:eastAsia="宋体"/>
          <w:color w:val="auto"/>
          <w:sz w:val="21"/>
          <w:szCs w:val="21"/>
          <w:highlight w:val="none"/>
        </w:rPr>
        <w:t>、严禁转包，未经甲方书面同意不得分包。</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2、乙方全部工作人员，须符合东莞市政府用工标准要求。</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3、乙方服务人员进行服务期间的过失或故意行为，造成甲方经济损失的，由乙方负责赔偿。</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4、服务人员的劳动关系隶属乙方，乙方负责服务人员的工资、节假日和超时加班补助费、社会保险、住宿、伙食等。</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5、乙方负责本项目服务人员购买因意外身故或伤残和因意外事故住院治疗保险，并负责办理一切保险赔偿手续。</w:t>
      </w:r>
    </w:p>
    <w:p>
      <w:pPr>
        <w:keepNext w:val="0"/>
        <w:keepLines w:val="0"/>
        <w:pageBreakBefore w:val="0"/>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第十条 违约责任</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1、合同双方任何一方不履行合同条款或不按合同约定履行条款的其它情况，均属违约，由违约方承担违约责任，赔偿因其违约造成的损失，并支付合同价款总额</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%的违约金。</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2、由于乙方的原因，导致双方签订的合同终止，乙方因此而遭受的损失，将由乙方独立承担，甲方对此不负任何责任，也不作任何赔偿。</w:t>
      </w:r>
    </w:p>
    <w:bookmarkEnd w:id="84"/>
    <w:p>
      <w:pPr>
        <w:keepNext w:val="0"/>
        <w:keepLines w:val="0"/>
        <w:pageBreakBefore w:val="0"/>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bookmarkStart w:id="85" w:name="_Toc86481570"/>
      <w:r>
        <w:rPr>
          <w:rFonts w:hint="eastAsia" w:ascii="宋体" w:hAnsi="宋体" w:eastAsia="宋体"/>
          <w:b/>
          <w:color w:val="auto"/>
          <w:sz w:val="21"/>
          <w:szCs w:val="21"/>
          <w:highlight w:val="none"/>
        </w:rPr>
        <w:t>第十一条 争议的解决</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1、凡与本合同有关而引起的一切争议，甲乙双方应首先通过友好协商解决，如经协商后仍不能达成协议时，任何一方可以向法院提出诉讼。</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2、本合同发生的诉讼管辖地为东莞市有管辖权的法院。</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3、在进行法院审理期间，除提交法院审理的事项外，合同其他部分仍继续履行。</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s="仿宋"/>
          <w:color w:val="auto"/>
          <w:sz w:val="21"/>
          <w:szCs w:val="21"/>
          <w:highlight w:val="none"/>
          <w:shd w:val="clear" w:color="auto" w:fill="FFFFFF"/>
        </w:rPr>
      </w:pPr>
      <w:r>
        <w:rPr>
          <w:rFonts w:hint="eastAsia" w:ascii="宋体" w:hAnsi="宋体" w:eastAsia="宋体" w:cs="宋体"/>
          <w:color w:val="auto"/>
          <w:sz w:val="21"/>
          <w:szCs w:val="21"/>
          <w:highlight w:val="none"/>
        </w:rPr>
        <w:t>4、本合同按照中华人民共和国的法律进行解释</w:t>
      </w:r>
      <w:r>
        <w:rPr>
          <w:rFonts w:hint="eastAsia" w:ascii="宋体" w:hAnsi="宋体" w:eastAsia="宋体" w:cs="仿宋"/>
          <w:color w:val="auto"/>
          <w:sz w:val="21"/>
          <w:szCs w:val="21"/>
          <w:highlight w:val="none"/>
          <w:shd w:val="clear" w:color="auto" w:fill="FFFFFF"/>
        </w:rPr>
        <w:t>。</w:t>
      </w:r>
    </w:p>
    <w:p>
      <w:pPr>
        <w:keepNext w:val="0"/>
        <w:keepLines w:val="0"/>
        <w:pageBreakBefore w:val="0"/>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bookmarkStart w:id="86" w:name="_Toc86481569"/>
      <w:r>
        <w:rPr>
          <w:rFonts w:hint="eastAsia" w:ascii="宋体" w:hAnsi="宋体" w:eastAsia="宋体"/>
          <w:b/>
          <w:color w:val="auto"/>
          <w:sz w:val="21"/>
          <w:szCs w:val="21"/>
          <w:highlight w:val="none"/>
        </w:rPr>
        <w:t>第十二条 合同生效</w:t>
      </w:r>
      <w:bookmarkEnd w:id="86"/>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1、本合同由双方法定代表人或委托代理人签字盖章后立即生效，具有同等法律效力，合同有效期随服务期结束而自然终止。</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2、本合同一式    份，其中甲方    份、乙方    份，采购代理机构 壹 份（须在合同签订之日起7个工作日内递交）。</w:t>
      </w:r>
    </w:p>
    <w:p>
      <w:pPr>
        <w:keepNext w:val="0"/>
        <w:keepLines w:val="0"/>
        <w:pageBreakBefore w:val="0"/>
        <w:kinsoku/>
        <w:wordWrap/>
        <w:overflowPunct/>
        <w:topLinePunct w:val="0"/>
        <w:autoSpaceDE/>
        <w:autoSpaceDN/>
        <w:bidi w:val="0"/>
        <w:adjustRightInd/>
        <w:snapToGrid/>
        <w:spacing w:after="0" w:line="400" w:lineRule="exact"/>
        <w:textAlignment w:val="auto"/>
        <w:rPr>
          <w:rFonts w:ascii="宋体" w:hAnsi="宋体" w:eastAsia="宋体"/>
          <w:b/>
          <w:color w:val="auto"/>
          <w:sz w:val="21"/>
          <w:szCs w:val="21"/>
          <w:highlight w:val="none"/>
        </w:rPr>
      </w:pPr>
      <w:r>
        <w:rPr>
          <w:rFonts w:hint="eastAsia" w:ascii="宋体" w:hAnsi="宋体" w:eastAsia="宋体"/>
          <w:b/>
          <w:color w:val="auto"/>
          <w:sz w:val="21"/>
          <w:szCs w:val="21"/>
          <w:highlight w:val="none"/>
        </w:rPr>
        <w:t>第十三条 其它</w:t>
      </w:r>
      <w:bookmarkEnd w:id="85"/>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1、本合同未尽事宜，双方可签订补充合同，补充合同与所有附件均为合同的有效组成部分，与本合同具有同等法律效力。</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2、在执行本合同的过程中，所有经甲乙双方签署确认的文件（包括会议纪要、补充协议、往来信函、合同附件等）即成为本合同的有效组成部分，其生效日期为双方签字盖章或确认之日期。</w:t>
      </w:r>
    </w:p>
    <w:p>
      <w:pPr>
        <w:keepNext w:val="0"/>
        <w:keepLines w:val="0"/>
        <w:pageBreakBefore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本合同合计   页A4纸张，缺页之合同为无效合同。</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olor w:val="auto"/>
          <w:sz w:val="21"/>
          <w:szCs w:val="21"/>
          <w:highlight w:val="none"/>
        </w:rPr>
      </w:pP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olor w:val="auto"/>
          <w:sz w:val="21"/>
          <w:szCs w:val="21"/>
          <w:highlight w:val="none"/>
        </w:rPr>
      </w:pP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olor w:val="auto"/>
          <w:sz w:val="21"/>
          <w:szCs w:val="21"/>
          <w:highlight w:val="none"/>
        </w:rPr>
      </w:pP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甲方（盖章）：                      乙方（盖章）：</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法定代表(签字)：                   法定代表(签字)：</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地址：                             地址： </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电话：                             电话：</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传真：</w:t>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传真：</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开户银行：</w:t>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 xml:space="preserve">                     开户银行：</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账号：                             账号：</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签约时间：</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签约地点：</w:t>
      </w:r>
    </w:p>
    <w:p>
      <w:pPr>
        <w:pageBreakBefore w:val="0"/>
        <w:kinsoku/>
        <w:topLinePunct w:val="0"/>
        <w:autoSpaceDE/>
        <w:autoSpaceDN/>
        <w:bidi w:val="0"/>
        <w:spacing w:line="360" w:lineRule="auto"/>
        <w:rPr>
          <w:rFonts w:hint="eastAsia" w:ascii="宋体" w:hAnsi="宋体" w:eastAsia="宋体"/>
          <w:b/>
          <w:color w:val="auto"/>
          <w:sz w:val="21"/>
          <w:szCs w:val="21"/>
          <w:highlight w:val="none"/>
        </w:rPr>
      </w:pPr>
    </w:p>
    <w:p>
      <w:pPr>
        <w:pageBreakBefore w:val="0"/>
        <w:kinsoku/>
        <w:topLinePunct w:val="0"/>
        <w:autoSpaceDE/>
        <w:autoSpaceDN/>
        <w:bidi w:val="0"/>
        <w:spacing w:line="360" w:lineRule="auto"/>
        <w:rPr>
          <w:rFonts w:hint="eastAsia" w:ascii="宋体" w:hAnsi="宋体" w:eastAsia="宋体"/>
          <w:b/>
          <w:color w:val="auto"/>
          <w:sz w:val="21"/>
          <w:szCs w:val="21"/>
          <w:highlight w:val="none"/>
        </w:rPr>
      </w:pPr>
    </w:p>
    <w:p>
      <w:pPr>
        <w:pageBreakBefore w:val="0"/>
        <w:kinsoku/>
        <w:topLinePunct w:val="0"/>
        <w:autoSpaceDE/>
        <w:autoSpaceDN/>
        <w:bidi w:val="0"/>
        <w:spacing w:line="360" w:lineRule="auto"/>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此仅为合同书样本，中标人需根据实际情况和甲方签订相应的合同！</w:t>
      </w:r>
    </w:p>
    <w:p>
      <w:pPr>
        <w:pageBreakBefore w:val="0"/>
        <w:kinsoku/>
        <w:topLinePunct w:val="0"/>
        <w:autoSpaceDE/>
        <w:autoSpaceDN/>
        <w:bidi w:val="0"/>
        <w:spacing w:line="360" w:lineRule="auto"/>
        <w:rPr>
          <w:rFonts w:hint="eastAsia"/>
          <w:color w:val="auto"/>
          <w:sz w:val="28"/>
          <w:szCs w:val="28"/>
          <w:highlight w:val="none"/>
        </w:rPr>
      </w:pPr>
      <w:r>
        <w:rPr>
          <w:rFonts w:hint="eastAsia" w:ascii="宋体" w:hAnsi="宋体" w:eastAsia="宋体"/>
          <w:b/>
          <w:color w:val="auto"/>
          <w:sz w:val="21"/>
          <w:szCs w:val="21"/>
          <w:highlight w:val="none"/>
        </w:rPr>
        <w:br w:type="page"/>
      </w:r>
    </w:p>
    <w:p>
      <w:pPr>
        <w:pStyle w:val="3"/>
        <w:pageBreakBefore w:val="0"/>
        <w:kinsoku/>
        <w:topLinePunct w:val="0"/>
        <w:autoSpaceDE/>
        <w:autoSpaceDN/>
        <w:bidi w:val="0"/>
        <w:spacing w:before="0" w:after="0" w:line="360" w:lineRule="auto"/>
        <w:rPr>
          <w:color w:val="auto"/>
          <w:sz w:val="28"/>
          <w:szCs w:val="28"/>
          <w:highlight w:val="none"/>
        </w:rPr>
      </w:pPr>
      <w:bookmarkStart w:id="87" w:name="_Toc15795"/>
      <w:r>
        <w:rPr>
          <w:rFonts w:hint="eastAsia"/>
          <w:color w:val="auto"/>
          <w:sz w:val="28"/>
          <w:szCs w:val="28"/>
          <w:highlight w:val="none"/>
        </w:rPr>
        <w:t>第六部分  附件－投标文件格式</w:t>
      </w:r>
      <w:bookmarkEnd w:id="87"/>
    </w:p>
    <w:p>
      <w:pPr>
        <w:pageBreakBefore w:val="0"/>
        <w:kinsoku/>
        <w:topLinePunct w:val="0"/>
        <w:autoSpaceDE/>
        <w:autoSpaceDN/>
        <w:bidi w:val="0"/>
        <w:spacing w:line="360" w:lineRule="auto"/>
        <w:rPr>
          <w:color w:val="auto"/>
          <w:highlight w:val="none"/>
        </w:rPr>
      </w:pPr>
    </w:p>
    <w:p>
      <w:pPr>
        <w:pStyle w:val="5"/>
        <w:pageBreakBefore w:val="0"/>
        <w:widowControl w:val="0"/>
        <w:kinsoku/>
        <w:overflowPunct w:val="0"/>
        <w:topLinePunct w:val="0"/>
        <w:autoSpaceDE/>
        <w:autoSpaceDN/>
        <w:bidi w:val="0"/>
        <w:spacing w:before="0" w:after="0" w:line="360" w:lineRule="auto"/>
        <w:rPr>
          <w:rFonts w:ascii="宋体" w:hAnsi="宋体" w:eastAsia="宋体"/>
          <w:color w:val="auto"/>
          <w:sz w:val="21"/>
          <w:szCs w:val="21"/>
          <w:highlight w:val="none"/>
        </w:rPr>
      </w:pPr>
      <w:bookmarkStart w:id="88" w:name="_Toc6425"/>
      <w:r>
        <w:rPr>
          <w:rFonts w:hint="eastAsia" w:ascii="宋体" w:hAnsi="宋体" w:eastAsia="宋体"/>
          <w:color w:val="auto"/>
          <w:sz w:val="21"/>
          <w:szCs w:val="21"/>
          <w:highlight w:val="none"/>
        </w:rPr>
        <w:t>附件1.投标文件目录</w:t>
      </w:r>
      <w:bookmarkEnd w:id="88"/>
    </w:p>
    <w:p>
      <w:pPr>
        <w:pageBreakBefore w:val="0"/>
        <w:kinsoku/>
        <w:topLinePunct w:val="0"/>
        <w:autoSpaceDE/>
        <w:autoSpaceDN/>
        <w:bidi w:val="0"/>
        <w:spacing w:line="360" w:lineRule="auto"/>
        <w:jc w:val="center"/>
        <w:rPr>
          <w:rFonts w:ascii="黑体" w:eastAsia="黑体"/>
          <w:color w:val="auto"/>
          <w:sz w:val="32"/>
          <w:szCs w:val="32"/>
          <w:highlight w:val="none"/>
        </w:rPr>
      </w:pPr>
    </w:p>
    <w:p>
      <w:pPr>
        <w:pageBreakBefore w:val="0"/>
        <w:kinsoku/>
        <w:topLinePunct w:val="0"/>
        <w:autoSpaceDE/>
        <w:autoSpaceDN/>
        <w:bidi w:val="0"/>
        <w:spacing w:line="360" w:lineRule="auto"/>
        <w:jc w:val="center"/>
        <w:rPr>
          <w:rFonts w:ascii="黑体" w:eastAsia="黑体"/>
          <w:color w:val="auto"/>
          <w:sz w:val="32"/>
          <w:szCs w:val="32"/>
          <w:highlight w:val="none"/>
        </w:rPr>
      </w:pPr>
      <w:r>
        <w:rPr>
          <w:rFonts w:hint="eastAsia" w:ascii="黑体" w:eastAsia="黑体"/>
          <w:color w:val="auto"/>
          <w:sz w:val="32"/>
          <w:szCs w:val="32"/>
          <w:highlight w:val="none"/>
        </w:rPr>
        <w:t>目录</w:t>
      </w:r>
    </w:p>
    <w:p>
      <w:pPr>
        <w:pageBreakBefore w:val="0"/>
        <w:kinsoku/>
        <w:topLinePunct w:val="0"/>
        <w:autoSpaceDE/>
        <w:autoSpaceDN/>
        <w:bidi w:val="0"/>
        <w:adjustRightInd/>
        <w:snapToGrid/>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格式自理。</w:t>
      </w:r>
    </w:p>
    <w:p>
      <w:pPr>
        <w:pageBreakBefore w:val="0"/>
        <w:kinsoku/>
        <w:topLinePunct w:val="0"/>
        <w:autoSpaceDE/>
        <w:autoSpaceDN/>
        <w:bidi w:val="0"/>
        <w:adjustRightInd/>
        <w:snapToGrid/>
        <w:spacing w:line="360" w:lineRule="auto"/>
        <w:rPr>
          <w:rFonts w:ascii="宋体" w:hAnsi="宋体" w:eastAsia="宋体"/>
          <w:color w:val="auto"/>
          <w:sz w:val="21"/>
          <w:szCs w:val="21"/>
          <w:highlight w:val="none"/>
        </w:rPr>
      </w:pPr>
    </w:p>
    <w:p>
      <w:pPr>
        <w:pageBreakBefore w:val="0"/>
        <w:kinsoku/>
        <w:topLinePunct w:val="0"/>
        <w:autoSpaceDE/>
        <w:autoSpaceDN/>
        <w:bidi w:val="0"/>
        <w:adjustRightInd/>
        <w:snapToGrid/>
        <w:spacing w:line="360" w:lineRule="auto"/>
        <w:rPr>
          <w:rFonts w:ascii="宋体" w:hAnsi="宋体" w:eastAsia="宋体"/>
          <w:color w:val="auto"/>
          <w:sz w:val="21"/>
          <w:szCs w:val="21"/>
          <w:highlight w:val="none"/>
        </w:rPr>
      </w:pPr>
    </w:p>
    <w:p>
      <w:pPr>
        <w:pageBreakBefore w:val="0"/>
        <w:kinsoku/>
        <w:topLinePunct w:val="0"/>
        <w:autoSpaceDE/>
        <w:autoSpaceDN/>
        <w:bidi w:val="0"/>
        <w:adjustRightInd/>
        <w:snapToGrid/>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pageBreakBefore w:val="0"/>
        <w:kinsoku/>
        <w:topLinePunct w:val="0"/>
        <w:autoSpaceDE/>
        <w:autoSpaceDN/>
        <w:bidi w:val="0"/>
        <w:adjustRightInd/>
        <w:snapToGrid/>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1、投标人制作的投标文件应当具备目录。</w:t>
      </w:r>
      <w:r>
        <w:rPr>
          <w:rFonts w:ascii="宋体" w:hAnsi="宋体" w:eastAsia="宋体"/>
          <w:color w:val="auto"/>
          <w:sz w:val="21"/>
          <w:szCs w:val="21"/>
          <w:highlight w:val="none"/>
        </w:rPr>
        <w:br w:type="page"/>
      </w:r>
    </w:p>
    <w:p>
      <w:pPr>
        <w:pStyle w:val="5"/>
        <w:pageBreakBefore w:val="0"/>
        <w:widowControl w:val="0"/>
        <w:kinsoku/>
        <w:overflowPunct w:val="0"/>
        <w:topLinePunct w:val="0"/>
        <w:autoSpaceDE/>
        <w:autoSpaceDN/>
        <w:bidi w:val="0"/>
        <w:spacing w:before="0" w:after="0" w:line="360" w:lineRule="auto"/>
        <w:rPr>
          <w:rFonts w:ascii="宋体" w:hAnsi="宋体" w:eastAsia="宋体"/>
          <w:color w:val="auto"/>
          <w:sz w:val="21"/>
          <w:szCs w:val="21"/>
          <w:highlight w:val="none"/>
        </w:rPr>
      </w:pPr>
      <w:bookmarkStart w:id="89" w:name="_Toc10771"/>
      <w:r>
        <w:rPr>
          <w:rFonts w:hint="eastAsia" w:ascii="宋体" w:hAnsi="宋体" w:eastAsia="宋体"/>
          <w:color w:val="auto"/>
          <w:sz w:val="21"/>
          <w:szCs w:val="21"/>
          <w:highlight w:val="none"/>
        </w:rPr>
        <w:t>附件1-1 评分标准索引表</w:t>
      </w:r>
      <w:bookmarkEnd w:id="89"/>
    </w:p>
    <w:p>
      <w:pPr>
        <w:pageBreakBefore w:val="0"/>
        <w:kinsoku/>
        <w:topLinePunct w:val="0"/>
        <w:autoSpaceDE/>
        <w:autoSpaceDN/>
        <w:bidi w:val="0"/>
        <w:adjustRightInd/>
        <w:snapToGrid/>
        <w:spacing w:line="360" w:lineRule="auto"/>
        <w:rPr>
          <w:rFonts w:ascii="宋体" w:hAnsi="宋体" w:eastAsia="宋体"/>
          <w:color w:val="auto"/>
          <w:sz w:val="21"/>
          <w:szCs w:val="21"/>
          <w:highlight w:val="none"/>
        </w:rPr>
      </w:pPr>
    </w:p>
    <w:p>
      <w:pPr>
        <w:pageBreakBefore w:val="0"/>
        <w:kinsoku/>
        <w:topLinePunct w:val="0"/>
        <w:autoSpaceDE/>
        <w:autoSpaceDN/>
        <w:bidi w:val="0"/>
        <w:spacing w:line="360" w:lineRule="auto"/>
        <w:jc w:val="center"/>
        <w:rPr>
          <w:rFonts w:ascii="黑体" w:eastAsia="黑体"/>
          <w:color w:val="auto"/>
          <w:sz w:val="32"/>
          <w:szCs w:val="32"/>
          <w:highlight w:val="none"/>
        </w:rPr>
      </w:pPr>
      <w:r>
        <w:rPr>
          <w:rFonts w:hint="eastAsia" w:ascii="黑体" w:eastAsia="黑体"/>
          <w:color w:val="auto"/>
          <w:sz w:val="32"/>
          <w:szCs w:val="32"/>
          <w:highlight w:val="none"/>
        </w:rPr>
        <w:t>评分标准索引表</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r>
              <w:rPr>
                <w:rFonts w:hint="eastAsia" w:ascii="宋体" w:hAnsi="宋体" w:eastAsia="宋体" w:cs="宋体"/>
                <w:color w:val="auto"/>
                <w:highlight w:val="none"/>
              </w:rPr>
              <w:t>序号</w:t>
            </w:r>
          </w:p>
        </w:tc>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r>
              <w:rPr>
                <w:rFonts w:hint="eastAsia" w:ascii="宋体" w:hAnsi="宋体" w:eastAsia="宋体" w:cs="宋体"/>
                <w:color w:val="auto"/>
                <w:highlight w:val="none"/>
              </w:rPr>
              <w:t>评审项目</w:t>
            </w:r>
          </w:p>
        </w:tc>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r>
              <w:rPr>
                <w:rFonts w:hint="eastAsia" w:ascii="宋体" w:hAnsi="宋体" w:eastAsia="宋体" w:cs="宋体"/>
                <w:color w:val="auto"/>
                <w:highlight w:val="none"/>
              </w:rPr>
              <w:t>评分细则</w:t>
            </w:r>
          </w:p>
        </w:tc>
        <w:tc>
          <w:tcPr>
            <w:tcW w:w="1705"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r>
              <w:rPr>
                <w:rFonts w:hint="eastAsia" w:ascii="宋体" w:hAnsi="宋体" w:eastAsia="宋体" w:cs="宋体"/>
                <w:color w:val="auto"/>
                <w:highlight w:val="none"/>
              </w:rPr>
              <w:t>分值</w:t>
            </w:r>
          </w:p>
        </w:tc>
        <w:tc>
          <w:tcPr>
            <w:tcW w:w="1705"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r>
              <w:rPr>
                <w:rFonts w:hint="eastAsia" w:ascii="宋体" w:hAnsi="宋体" w:eastAsia="宋体" w:cs="宋体"/>
                <w:color w:val="auto"/>
                <w:highlight w:val="none"/>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522" w:type="dxa"/>
            <w:gridSpan w:val="5"/>
            <w:vAlign w:val="center"/>
          </w:tcPr>
          <w:p>
            <w:pPr>
              <w:pageBreakBefore w:val="0"/>
              <w:kinsoku/>
              <w:topLinePunct w:val="0"/>
              <w:autoSpaceDE/>
              <w:autoSpaceDN/>
              <w:bidi w:val="0"/>
              <w:spacing w:after="0" w:line="360" w:lineRule="auto"/>
              <w:rPr>
                <w:rFonts w:ascii="宋体" w:hAnsi="宋体" w:eastAsia="宋体" w:cs="宋体"/>
                <w:color w:val="auto"/>
                <w:highlight w:val="none"/>
              </w:rPr>
            </w:pPr>
            <w:r>
              <w:rPr>
                <w:rFonts w:hint="eastAsia" w:ascii="宋体" w:hAnsi="宋体" w:eastAsia="宋体" w:cs="宋体"/>
                <w:color w:val="auto"/>
                <w:highlight w:val="none"/>
              </w:rPr>
              <w:t>商务评审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5"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5"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5"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5"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5"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5"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522" w:type="dxa"/>
            <w:gridSpan w:val="5"/>
            <w:vAlign w:val="center"/>
          </w:tcPr>
          <w:p>
            <w:pPr>
              <w:pageBreakBefore w:val="0"/>
              <w:kinsoku/>
              <w:topLinePunct w:val="0"/>
              <w:autoSpaceDE/>
              <w:autoSpaceDN/>
              <w:bidi w:val="0"/>
              <w:spacing w:after="0" w:line="360" w:lineRule="auto"/>
              <w:rPr>
                <w:rFonts w:ascii="宋体" w:hAnsi="宋体" w:eastAsia="宋体" w:cs="宋体"/>
                <w:color w:val="auto"/>
                <w:highlight w:val="none"/>
              </w:rPr>
            </w:pPr>
            <w:r>
              <w:rPr>
                <w:rFonts w:hint="eastAsia" w:ascii="宋体" w:hAnsi="宋体" w:eastAsia="宋体" w:cs="宋体"/>
                <w:color w:val="auto"/>
                <w:highlight w:val="none"/>
              </w:rPr>
              <w:t>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5"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5"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5"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5"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4"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5"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c>
          <w:tcPr>
            <w:tcW w:w="1705" w:type="dxa"/>
            <w:vAlign w:val="center"/>
          </w:tcPr>
          <w:p>
            <w:pPr>
              <w:pageBreakBefore w:val="0"/>
              <w:kinsoku/>
              <w:topLinePunct w:val="0"/>
              <w:autoSpaceDE/>
              <w:autoSpaceDN/>
              <w:bidi w:val="0"/>
              <w:spacing w:after="0" w:line="360" w:lineRule="auto"/>
              <w:jc w:val="center"/>
              <w:rPr>
                <w:rFonts w:ascii="宋体" w:hAnsi="宋体" w:eastAsia="宋体" w:cs="宋体"/>
                <w:color w:val="auto"/>
                <w:highlight w:val="none"/>
              </w:rPr>
            </w:pPr>
          </w:p>
        </w:tc>
      </w:tr>
    </w:tbl>
    <w:p>
      <w:pPr>
        <w:pageBreakBefore w:val="0"/>
        <w:kinsoku/>
        <w:topLinePunct w:val="0"/>
        <w:autoSpaceDE/>
        <w:autoSpaceDN/>
        <w:bidi w:val="0"/>
        <w:spacing w:line="360" w:lineRule="auto"/>
        <w:rPr>
          <w:rFonts w:ascii="宋体" w:hAnsi="宋体" w:eastAsia="宋体"/>
          <w:color w:val="auto"/>
          <w:sz w:val="21"/>
          <w:szCs w:val="21"/>
          <w:highlight w:val="none"/>
        </w:rPr>
      </w:pPr>
    </w:p>
    <w:p>
      <w:pPr>
        <w:pageBreakBefore w:val="0"/>
        <w:kinsoku/>
        <w:topLinePunct w:val="0"/>
        <w:autoSpaceDE/>
        <w:autoSpaceDN/>
        <w:bidi w:val="0"/>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pageBreakBefore w:val="0"/>
        <w:numPr>
          <w:ilvl w:val="0"/>
          <w:numId w:val="9"/>
        </w:numPr>
        <w:kinsoku/>
        <w:topLinePunct w:val="0"/>
        <w:autoSpaceDE/>
        <w:autoSpaceDN/>
        <w:bidi w:val="0"/>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该表格为参考格式，投标人可按实际情况自行制订评分标准索引表。</w:t>
      </w:r>
    </w:p>
    <w:p>
      <w:pPr>
        <w:pStyle w:val="2"/>
        <w:pageBreakBefore w:val="0"/>
        <w:kinsoku/>
        <w:topLinePunct w:val="0"/>
        <w:autoSpaceDE/>
        <w:autoSpaceDN/>
        <w:bidi w:val="0"/>
        <w:spacing w:before="0" w:line="360" w:lineRule="auto"/>
        <w:ind w:left="0"/>
        <w:rPr>
          <w:color w:val="auto"/>
          <w:highlight w:val="none"/>
        </w:rPr>
      </w:pPr>
    </w:p>
    <w:p>
      <w:pPr>
        <w:pageBreakBefore w:val="0"/>
        <w:kinsoku/>
        <w:topLinePunct w:val="0"/>
        <w:autoSpaceDE/>
        <w:autoSpaceDN/>
        <w:bidi w:val="0"/>
        <w:adjustRightInd/>
        <w:snapToGrid/>
        <w:spacing w:line="360" w:lineRule="auto"/>
        <w:rPr>
          <w:rFonts w:ascii="宋体" w:hAnsi="宋体" w:eastAsia="宋体"/>
          <w:color w:val="auto"/>
          <w:sz w:val="21"/>
          <w:szCs w:val="21"/>
          <w:highlight w:val="none"/>
        </w:rPr>
      </w:pPr>
    </w:p>
    <w:p>
      <w:pPr>
        <w:pageBreakBefore w:val="0"/>
        <w:kinsoku/>
        <w:topLinePunct w:val="0"/>
        <w:autoSpaceDE/>
        <w:autoSpaceDN/>
        <w:bidi w:val="0"/>
        <w:adjustRightInd/>
        <w:snapToGrid/>
        <w:spacing w:line="360" w:lineRule="auto"/>
        <w:rPr>
          <w:rFonts w:ascii="宋体" w:hAnsi="宋体" w:eastAsia="宋体"/>
          <w:color w:val="auto"/>
          <w:sz w:val="21"/>
          <w:szCs w:val="21"/>
          <w:highlight w:val="none"/>
        </w:rPr>
      </w:pPr>
    </w:p>
    <w:p>
      <w:pPr>
        <w:pageBreakBefore w:val="0"/>
        <w:kinsoku/>
        <w:topLinePunct w:val="0"/>
        <w:autoSpaceDE/>
        <w:autoSpaceDN/>
        <w:bidi w:val="0"/>
        <w:adjustRightInd/>
        <w:snapToGrid/>
        <w:spacing w:line="360" w:lineRule="auto"/>
        <w:rPr>
          <w:rFonts w:ascii="宋体" w:hAnsi="宋体" w:eastAsia="宋体"/>
          <w:color w:val="auto"/>
          <w:sz w:val="21"/>
          <w:szCs w:val="21"/>
          <w:highlight w:val="none"/>
        </w:rPr>
      </w:pPr>
    </w:p>
    <w:p>
      <w:pPr>
        <w:pageBreakBefore w:val="0"/>
        <w:kinsoku/>
        <w:topLinePunct w:val="0"/>
        <w:autoSpaceDE/>
        <w:autoSpaceDN/>
        <w:bidi w:val="0"/>
        <w:adjustRightInd/>
        <w:snapToGrid/>
        <w:spacing w:line="360" w:lineRule="auto"/>
        <w:rPr>
          <w:rFonts w:ascii="宋体" w:hAnsi="宋体" w:eastAsia="宋体"/>
          <w:color w:val="auto"/>
          <w:sz w:val="21"/>
          <w:szCs w:val="21"/>
          <w:highlight w:val="none"/>
        </w:rPr>
      </w:pPr>
    </w:p>
    <w:p>
      <w:pPr>
        <w:pageBreakBefore w:val="0"/>
        <w:kinsoku/>
        <w:topLinePunct w:val="0"/>
        <w:autoSpaceDE/>
        <w:autoSpaceDN/>
        <w:bidi w:val="0"/>
        <w:adjustRightInd/>
        <w:snapToGrid/>
        <w:spacing w:line="360" w:lineRule="auto"/>
        <w:rPr>
          <w:rFonts w:ascii="宋体" w:hAnsi="宋体" w:eastAsia="宋体"/>
          <w:color w:val="auto"/>
          <w:sz w:val="21"/>
          <w:szCs w:val="21"/>
          <w:highlight w:val="none"/>
        </w:rPr>
      </w:pPr>
    </w:p>
    <w:p>
      <w:pPr>
        <w:pageBreakBefore w:val="0"/>
        <w:kinsoku/>
        <w:topLinePunct w:val="0"/>
        <w:autoSpaceDE/>
        <w:autoSpaceDN/>
        <w:bidi w:val="0"/>
        <w:adjustRightInd/>
        <w:snapToGrid/>
        <w:spacing w:line="360" w:lineRule="auto"/>
        <w:rPr>
          <w:rFonts w:ascii="宋体" w:hAnsi="宋体" w:eastAsia="宋体"/>
          <w:color w:val="auto"/>
          <w:sz w:val="21"/>
          <w:szCs w:val="21"/>
          <w:highlight w:val="none"/>
        </w:rPr>
      </w:pPr>
      <w:r>
        <w:rPr>
          <w:rFonts w:ascii="宋体" w:hAnsi="宋体" w:eastAsia="宋体"/>
          <w:color w:val="auto"/>
          <w:sz w:val="21"/>
          <w:szCs w:val="21"/>
          <w:highlight w:val="none"/>
        </w:rPr>
        <w:br w:type="page"/>
      </w:r>
    </w:p>
    <w:p>
      <w:pPr>
        <w:pStyle w:val="5"/>
        <w:pageBreakBefore w:val="0"/>
        <w:widowControl w:val="0"/>
        <w:kinsoku/>
        <w:overflowPunct w:val="0"/>
        <w:topLinePunct w:val="0"/>
        <w:autoSpaceDE/>
        <w:autoSpaceDN/>
        <w:bidi w:val="0"/>
        <w:spacing w:before="0" w:after="0" w:line="360" w:lineRule="auto"/>
        <w:rPr>
          <w:rFonts w:ascii="宋体" w:hAnsi="宋体" w:eastAsia="宋体"/>
          <w:color w:val="auto"/>
          <w:sz w:val="21"/>
          <w:szCs w:val="21"/>
          <w:highlight w:val="none"/>
        </w:rPr>
      </w:pPr>
      <w:bookmarkStart w:id="90" w:name="_Toc1045"/>
      <w:r>
        <w:rPr>
          <w:rFonts w:hint="eastAsia" w:ascii="宋体" w:hAnsi="宋体" w:eastAsia="宋体"/>
          <w:color w:val="auto"/>
          <w:sz w:val="21"/>
          <w:szCs w:val="21"/>
          <w:highlight w:val="none"/>
        </w:rPr>
        <w:t>附件2.投标书格式</w:t>
      </w:r>
      <w:bookmarkEnd w:id="90"/>
    </w:p>
    <w:p>
      <w:pPr>
        <w:jc w:val="center"/>
        <w:rPr>
          <w:rFonts w:ascii="宋体" w:hAnsi="宋体" w:eastAsia="宋体"/>
          <w:color w:val="auto"/>
          <w:sz w:val="21"/>
          <w:szCs w:val="21"/>
          <w:highlight w:val="none"/>
        </w:rPr>
      </w:pPr>
      <w:bookmarkStart w:id="91" w:name="_Toc11248"/>
      <w:r>
        <w:rPr>
          <w:rFonts w:hint="eastAsia" w:ascii="黑体" w:eastAsia="黑体"/>
          <w:color w:val="auto"/>
          <w:sz w:val="32"/>
          <w:szCs w:val="32"/>
          <w:highlight w:val="none"/>
        </w:rPr>
        <w:t>投标书</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致：三方诚信招标有限公司东莞分公司：</w:t>
      </w:r>
    </w:p>
    <w:p>
      <w:pPr>
        <w:spacing w:after="0" w:line="360" w:lineRule="auto"/>
        <w:rPr>
          <w:rFonts w:ascii="宋体" w:hAnsi="宋体" w:eastAsia="宋体"/>
          <w:color w:val="auto"/>
          <w:sz w:val="21"/>
          <w:szCs w:val="21"/>
          <w:highlight w:val="none"/>
        </w:rPr>
      </w:pP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根据贵方为</w:t>
      </w:r>
      <w:r>
        <w:rPr>
          <w:rFonts w:hint="eastAsia" w:ascii="宋体" w:hAnsi="宋体" w:eastAsia="宋体"/>
          <w:color w:val="auto"/>
          <w:sz w:val="21"/>
          <w:szCs w:val="21"/>
          <w:highlight w:val="none"/>
          <w:u w:val="single"/>
        </w:rPr>
        <w:t>（项目名称）（采购项目编号）</w:t>
      </w:r>
      <w:r>
        <w:rPr>
          <w:rFonts w:hint="eastAsia" w:ascii="宋体" w:hAnsi="宋体" w:eastAsia="宋体"/>
          <w:color w:val="auto"/>
          <w:sz w:val="21"/>
          <w:szCs w:val="21"/>
          <w:highlight w:val="none"/>
        </w:rPr>
        <w:t>项目招标公告/招标邀请，签字代表</w:t>
      </w:r>
      <w:r>
        <w:rPr>
          <w:rFonts w:hint="eastAsia" w:ascii="宋体" w:hAnsi="宋体" w:eastAsia="宋体"/>
          <w:color w:val="auto"/>
          <w:sz w:val="21"/>
          <w:szCs w:val="21"/>
          <w:highlight w:val="none"/>
          <w:u w:val="single"/>
        </w:rPr>
        <w:t>（姓名、职务）</w:t>
      </w:r>
      <w:r>
        <w:rPr>
          <w:rFonts w:hint="eastAsia" w:ascii="宋体" w:hAnsi="宋体" w:eastAsia="宋体"/>
          <w:color w:val="auto"/>
          <w:sz w:val="21"/>
          <w:szCs w:val="21"/>
          <w:highlight w:val="none"/>
        </w:rPr>
        <w:t>经正式授权并代表投标人</w:t>
      </w:r>
      <w:r>
        <w:rPr>
          <w:rFonts w:hint="eastAsia" w:ascii="宋体" w:hAnsi="宋体" w:eastAsia="宋体"/>
          <w:color w:val="auto"/>
          <w:sz w:val="21"/>
          <w:szCs w:val="21"/>
          <w:highlight w:val="none"/>
          <w:u w:val="single"/>
        </w:rPr>
        <w:t>（投标人名称、地址）</w:t>
      </w:r>
      <w:r>
        <w:rPr>
          <w:rFonts w:hint="eastAsia" w:ascii="宋体" w:hAnsi="宋体" w:eastAsia="宋体"/>
          <w:color w:val="auto"/>
          <w:sz w:val="21"/>
          <w:szCs w:val="21"/>
          <w:highlight w:val="none"/>
        </w:rPr>
        <w:t>提交投标文件及“开标文件”：</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在此，签字代表宣布同意如下： </w:t>
      </w:r>
    </w:p>
    <w:p>
      <w:pPr>
        <w:widowControl w:val="0"/>
        <w:numPr>
          <w:ilvl w:val="0"/>
          <w:numId w:val="10"/>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我方将按招标文件的规定履行合同责任和义务。 </w:t>
      </w:r>
    </w:p>
    <w:p>
      <w:pPr>
        <w:widowControl w:val="0"/>
        <w:numPr>
          <w:ilvl w:val="0"/>
          <w:numId w:val="10"/>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b/>
          <w:color w:val="auto"/>
          <w:sz w:val="21"/>
          <w:szCs w:val="21"/>
          <w:highlight w:val="none"/>
        </w:rPr>
        <w:t>我方已完整阅读了本项目招标文件的所有内容（包括澄清，以及所有已提供的参考资料和有关附件），并完全理解上述文件所表达的意思，该项目递交投标文件时间截止后，我方承诺不再对上述文件内容进行询问或质疑。</w:t>
      </w:r>
      <w:r>
        <w:rPr>
          <w:rFonts w:hint="eastAsia" w:ascii="宋体" w:hAnsi="宋体" w:eastAsia="宋体"/>
          <w:color w:val="auto"/>
          <w:sz w:val="21"/>
          <w:szCs w:val="21"/>
          <w:highlight w:val="none"/>
        </w:rPr>
        <w:t xml:space="preserve"> </w:t>
      </w:r>
    </w:p>
    <w:p>
      <w:pPr>
        <w:widowControl w:val="0"/>
        <w:numPr>
          <w:ilvl w:val="0"/>
          <w:numId w:val="10"/>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本投标有效期为自开标日起</w:t>
      </w:r>
      <w:r>
        <w:rPr>
          <w:rFonts w:hint="eastAsia" w:ascii="宋体" w:hAnsi="宋体" w:eastAsia="宋体"/>
          <w:color w:val="auto"/>
          <w:sz w:val="21"/>
          <w:szCs w:val="21"/>
          <w:highlight w:val="none"/>
          <w:u w:val="single"/>
        </w:rPr>
        <w:t>90</w:t>
      </w:r>
      <w:r>
        <w:rPr>
          <w:rFonts w:hint="eastAsia" w:ascii="宋体" w:hAnsi="宋体" w:eastAsia="宋体"/>
          <w:color w:val="auto"/>
          <w:sz w:val="21"/>
          <w:szCs w:val="21"/>
          <w:highlight w:val="none"/>
        </w:rPr>
        <w:t xml:space="preserve">个日历日。 </w:t>
      </w:r>
    </w:p>
    <w:p>
      <w:pPr>
        <w:widowControl w:val="0"/>
        <w:numPr>
          <w:ilvl w:val="0"/>
          <w:numId w:val="10"/>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我方保证遵守投标人须知中关于没收投标保证金的规定。</w:t>
      </w:r>
    </w:p>
    <w:p>
      <w:pPr>
        <w:widowControl w:val="0"/>
        <w:numPr>
          <w:ilvl w:val="0"/>
          <w:numId w:val="10"/>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我方承诺，与买方聘请的为此项目提供咨询服务的公司及任何附属机构均无关联，我方不是买方的附属机构。 </w:t>
      </w:r>
    </w:p>
    <w:p>
      <w:pPr>
        <w:widowControl w:val="0"/>
        <w:numPr>
          <w:ilvl w:val="0"/>
          <w:numId w:val="10"/>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我方承诺，我方具备《中华人民共和国政府采购法》第二十二条资格条件，已清楚招标文件所有要求及有关规定；并承诺参加本次政府采购活动中，如有违法、违规、弄虚作假行为，所造成的损失、不良后果及法律责任，一律由我方承担；</w:t>
      </w:r>
    </w:p>
    <w:p>
      <w:pPr>
        <w:widowControl w:val="0"/>
        <w:numPr>
          <w:ilvl w:val="0"/>
          <w:numId w:val="10"/>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我方同意提供按照贵方可能要求的与其投标有关的一切数据或资料。</w:t>
      </w:r>
    </w:p>
    <w:p>
      <w:pPr>
        <w:widowControl w:val="0"/>
        <w:numPr>
          <w:ilvl w:val="0"/>
          <w:numId w:val="10"/>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与本投标有关的一切正式信函请寄：</w:t>
      </w:r>
    </w:p>
    <w:p>
      <w:pPr>
        <w:spacing w:after="0" w:line="360" w:lineRule="auto"/>
        <w:rPr>
          <w:rFonts w:ascii="宋体" w:hAnsi="宋体" w:eastAsia="宋体"/>
          <w:color w:val="auto"/>
          <w:sz w:val="21"/>
          <w:szCs w:val="21"/>
          <w:highlight w:val="none"/>
        </w:rPr>
      </w:pP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地址：　　　　　　　　　　　　　　　　　　　传真：</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电话/移动电话：　　　　　　　　　　　　　　　电子函件：</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投标人代表签字： </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投标人名称全称（</w:t>
      </w:r>
      <w:r>
        <w:rPr>
          <w:rFonts w:hint="eastAsia" w:ascii="宋体" w:hAnsi="宋体" w:eastAsia="宋体"/>
          <w:color w:val="auto"/>
          <w:sz w:val="21"/>
          <w:szCs w:val="21"/>
          <w:highlight w:val="none"/>
          <w:lang w:eastAsia="zh-CN"/>
        </w:rPr>
        <w:t>加</w:t>
      </w:r>
      <w:r>
        <w:rPr>
          <w:rFonts w:hint="eastAsia" w:ascii="宋体" w:hAnsi="宋体" w:eastAsia="宋体"/>
          <w:color w:val="auto"/>
          <w:sz w:val="21"/>
          <w:szCs w:val="21"/>
          <w:highlight w:val="none"/>
        </w:rPr>
        <w:t>盖</w:t>
      </w:r>
      <w:r>
        <w:rPr>
          <w:rFonts w:hint="eastAsia" w:ascii="宋体" w:hAnsi="宋体" w:eastAsia="宋体"/>
          <w:color w:val="auto"/>
          <w:sz w:val="21"/>
          <w:szCs w:val="21"/>
          <w:highlight w:val="none"/>
          <w:lang w:eastAsia="zh-CN"/>
        </w:rPr>
        <w:t>公</w:t>
      </w:r>
      <w:r>
        <w:rPr>
          <w:rFonts w:hint="eastAsia" w:ascii="宋体" w:hAnsi="宋体" w:eastAsia="宋体"/>
          <w:color w:val="auto"/>
          <w:sz w:val="21"/>
          <w:szCs w:val="21"/>
          <w:highlight w:val="none"/>
        </w:rPr>
        <w:t xml:space="preserve">章）：  </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投标人开户银行（全称）：</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投标人银行</w:t>
      </w:r>
      <w:r>
        <w:rPr>
          <w:rFonts w:hint="eastAsia" w:ascii="宋体" w:hAnsi="宋体" w:eastAsia="宋体"/>
          <w:color w:val="auto"/>
          <w:sz w:val="21"/>
          <w:szCs w:val="21"/>
          <w:highlight w:val="none"/>
          <w:lang w:eastAsia="zh-CN"/>
        </w:rPr>
        <w:t>账号</w:t>
      </w:r>
      <w:r>
        <w:rPr>
          <w:rFonts w:hint="eastAsia" w:ascii="宋体" w:hAnsi="宋体" w:eastAsia="宋体"/>
          <w:color w:val="auto"/>
          <w:sz w:val="21"/>
          <w:szCs w:val="21"/>
          <w:highlight w:val="none"/>
        </w:rPr>
        <w:t>：</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日期：</w:t>
      </w:r>
    </w:p>
    <w:p>
      <w:pPr>
        <w:pStyle w:val="5"/>
        <w:pageBreakBefore w:val="0"/>
        <w:widowControl w:val="0"/>
        <w:kinsoku/>
        <w:overflowPunct w:val="0"/>
        <w:topLinePunct w:val="0"/>
        <w:autoSpaceDE/>
        <w:autoSpaceDN/>
        <w:bidi w:val="0"/>
        <w:spacing w:before="0"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附件3.开标一览表格式</w:t>
      </w:r>
      <w:bookmarkEnd w:id="91"/>
    </w:p>
    <w:p>
      <w:pPr>
        <w:pageBreakBefore w:val="0"/>
        <w:kinsoku/>
        <w:topLinePunct w:val="0"/>
        <w:autoSpaceDE/>
        <w:autoSpaceDN/>
        <w:bidi w:val="0"/>
        <w:spacing w:line="360" w:lineRule="auto"/>
        <w:jc w:val="center"/>
        <w:rPr>
          <w:rFonts w:ascii="黑体" w:eastAsia="黑体"/>
          <w:color w:val="auto"/>
          <w:sz w:val="32"/>
          <w:szCs w:val="32"/>
          <w:highlight w:val="none"/>
        </w:rPr>
      </w:pPr>
      <w:r>
        <w:rPr>
          <w:rFonts w:hint="eastAsia" w:ascii="黑体" w:eastAsia="黑体"/>
          <w:color w:val="auto"/>
          <w:sz w:val="32"/>
          <w:szCs w:val="32"/>
          <w:highlight w:val="none"/>
        </w:rPr>
        <w:t>开标一览表</w:t>
      </w:r>
    </w:p>
    <w:p>
      <w:pPr>
        <w:pageBreakBefore w:val="0"/>
        <w:kinsoku/>
        <w:topLinePunct w:val="0"/>
        <w:autoSpaceDE/>
        <w:autoSpaceDN/>
        <w:bidi w:val="0"/>
        <w:spacing w:line="360" w:lineRule="auto"/>
        <w:rPr>
          <w:color w:val="auto"/>
          <w:highlight w:val="none"/>
        </w:rPr>
      </w:pPr>
    </w:p>
    <w:p>
      <w:pPr>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投标人名称：</w:t>
      </w:r>
    </w:p>
    <w:p>
      <w:pPr>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采购项目编号：</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 xml:space="preserve"> </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2"/>
        <w:gridCol w:w="3316"/>
        <w:gridCol w:w="2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1333" w:type="pct"/>
            <w:vAlign w:val="center"/>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360" w:lineRule="auto"/>
              <w:ind w:left="0"/>
              <w:jc w:val="center"/>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项目名称</w:t>
            </w:r>
          </w:p>
        </w:tc>
        <w:tc>
          <w:tcPr>
            <w:tcW w:w="1946" w:type="pct"/>
            <w:vAlign w:val="center"/>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360" w:lineRule="auto"/>
              <w:ind w:left="0"/>
              <w:jc w:val="center"/>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投标总价</w:t>
            </w:r>
          </w:p>
        </w:tc>
        <w:tc>
          <w:tcPr>
            <w:tcW w:w="1720" w:type="pct"/>
            <w:vAlign w:val="center"/>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360" w:lineRule="auto"/>
              <w:ind w:left="0"/>
              <w:jc w:val="center"/>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33" w:type="pct"/>
            <w:vMerge w:val="restart"/>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360" w:lineRule="auto"/>
              <w:ind w:left="0"/>
              <w:jc w:val="center"/>
              <w:textAlignment w:val="auto"/>
              <w:rPr>
                <w:rFonts w:hint="eastAsia" w:ascii="宋体" w:hAnsi="宋体" w:eastAsia="宋体"/>
                <w:color w:val="auto"/>
                <w:sz w:val="21"/>
                <w:szCs w:val="21"/>
                <w:highlight w:val="none"/>
              </w:rPr>
            </w:pPr>
          </w:p>
        </w:tc>
        <w:tc>
          <w:tcPr>
            <w:tcW w:w="1946" w:type="pct"/>
            <w:vAlign w:val="center"/>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360" w:lineRule="auto"/>
              <w:ind w:left="0"/>
              <w:jc w:val="both"/>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小写：17,418,237.00元</w:t>
            </w:r>
          </w:p>
        </w:tc>
        <w:tc>
          <w:tcPr>
            <w:tcW w:w="1720" w:type="pct"/>
            <w:vMerge w:val="restart"/>
            <w:vAlign w:val="center"/>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360" w:lineRule="auto"/>
              <w:ind w:left="0"/>
              <w:jc w:val="both"/>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1、服务期：三年</w:t>
            </w:r>
          </w:p>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360" w:lineRule="auto"/>
              <w:ind w:left="0"/>
              <w:jc w:val="both"/>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val="en-US" w:eastAsia="zh-CN"/>
              </w:rPr>
              <w:t>2、本项目为固定总价报价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jc w:val="center"/>
        </w:trPr>
        <w:tc>
          <w:tcPr>
            <w:tcW w:w="1333" w:type="pct"/>
            <w:vMerge w:val="continue"/>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360" w:lineRule="auto"/>
              <w:ind w:left="0"/>
              <w:jc w:val="both"/>
              <w:textAlignment w:val="auto"/>
              <w:rPr>
                <w:color w:val="auto"/>
                <w:highlight w:val="none"/>
              </w:rPr>
            </w:pPr>
          </w:p>
        </w:tc>
        <w:tc>
          <w:tcPr>
            <w:tcW w:w="1946" w:type="pct"/>
            <w:vAlign w:val="center"/>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360" w:lineRule="auto"/>
              <w:ind w:left="0"/>
              <w:jc w:val="both"/>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eastAsia="zh-CN"/>
              </w:rPr>
              <w:t>大写：人民币</w:t>
            </w:r>
            <w:r>
              <w:rPr>
                <w:rFonts w:hint="eastAsia" w:ascii="宋体" w:hAnsi="宋体" w:eastAsia="宋体"/>
                <w:color w:val="auto"/>
                <w:sz w:val="21"/>
                <w:szCs w:val="21"/>
                <w:highlight w:val="none"/>
                <w:lang w:val="en-US" w:eastAsia="zh-CN"/>
              </w:rPr>
              <w:t>壹仟柒佰肆拾壹万捌仟贰佰叁拾柒元整</w:t>
            </w:r>
          </w:p>
        </w:tc>
        <w:tc>
          <w:tcPr>
            <w:tcW w:w="1720" w:type="pct"/>
            <w:vMerge w:val="continue"/>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360" w:lineRule="auto"/>
              <w:ind w:left="0"/>
              <w:jc w:val="both"/>
              <w:textAlignment w:val="auto"/>
              <w:rPr>
                <w:rFonts w:hint="eastAsia" w:ascii="宋体" w:hAnsi="宋体" w:eastAsia="宋体"/>
                <w:color w:val="auto"/>
                <w:sz w:val="21"/>
                <w:szCs w:val="21"/>
                <w:highlight w:val="none"/>
                <w:lang w:eastAsia="zh-CN"/>
              </w:rPr>
            </w:pPr>
          </w:p>
        </w:tc>
      </w:tr>
    </w:tbl>
    <w:p>
      <w:pPr>
        <w:pageBreakBefore w:val="0"/>
        <w:kinsoku/>
        <w:topLinePunct w:val="0"/>
        <w:autoSpaceDE/>
        <w:autoSpaceDN/>
        <w:bidi w:val="0"/>
        <w:spacing w:after="0" w:line="360" w:lineRule="auto"/>
        <w:rPr>
          <w:rFonts w:ascii="宋体" w:hAnsi="宋体" w:eastAsia="宋体"/>
          <w:color w:val="auto"/>
          <w:sz w:val="21"/>
          <w:szCs w:val="21"/>
          <w:highlight w:val="none"/>
        </w:rPr>
      </w:pPr>
    </w:p>
    <w:p>
      <w:pPr>
        <w:pageBreakBefore w:val="0"/>
        <w:kinsoku/>
        <w:topLinePunct w:val="0"/>
        <w:autoSpaceDE/>
        <w:autoSpaceDN/>
        <w:bidi w:val="0"/>
        <w:spacing w:after="0" w:line="360" w:lineRule="auto"/>
        <w:ind w:firstLine="359" w:firstLineChars="171"/>
        <w:rPr>
          <w:rFonts w:ascii="宋体" w:hAnsi="宋体" w:eastAsia="宋体"/>
          <w:color w:val="auto"/>
          <w:sz w:val="21"/>
          <w:szCs w:val="21"/>
          <w:highlight w:val="none"/>
        </w:rPr>
      </w:pPr>
    </w:p>
    <w:p>
      <w:pPr>
        <w:pageBreakBefore w:val="0"/>
        <w:kinsoku/>
        <w:topLinePunct w:val="0"/>
        <w:autoSpaceDE/>
        <w:autoSpaceDN/>
        <w:bidi w:val="0"/>
        <w:spacing w:after="0" w:line="360" w:lineRule="auto"/>
        <w:ind w:firstLine="359" w:firstLineChars="171"/>
        <w:rPr>
          <w:rFonts w:ascii="宋体" w:hAnsi="宋体" w:eastAsia="宋体"/>
          <w:color w:val="auto"/>
          <w:sz w:val="21"/>
          <w:szCs w:val="21"/>
          <w:highlight w:val="none"/>
        </w:rPr>
      </w:pPr>
      <w:r>
        <w:rPr>
          <w:rFonts w:hint="eastAsia" w:ascii="宋体" w:hAnsi="宋体" w:eastAsia="宋体"/>
          <w:color w:val="auto"/>
          <w:sz w:val="21"/>
          <w:szCs w:val="21"/>
          <w:highlight w:val="none"/>
        </w:rPr>
        <w:t>投标人代表签字：</w:t>
      </w:r>
    </w:p>
    <w:p>
      <w:pPr>
        <w:pageBreakBefore w:val="0"/>
        <w:kinsoku/>
        <w:topLinePunct w:val="0"/>
        <w:autoSpaceDE/>
        <w:autoSpaceDN/>
        <w:bidi w:val="0"/>
        <w:spacing w:after="0" w:line="360" w:lineRule="auto"/>
        <w:ind w:firstLine="359" w:firstLineChars="171"/>
        <w:rPr>
          <w:rFonts w:ascii="宋体" w:hAnsi="宋体" w:eastAsia="宋体"/>
          <w:color w:val="auto"/>
          <w:sz w:val="21"/>
          <w:szCs w:val="21"/>
          <w:highlight w:val="none"/>
        </w:rPr>
      </w:pPr>
      <w:r>
        <w:rPr>
          <w:rFonts w:hint="eastAsia" w:ascii="宋体" w:hAnsi="宋体" w:eastAsia="宋体"/>
          <w:color w:val="auto"/>
          <w:sz w:val="21"/>
          <w:szCs w:val="21"/>
          <w:highlight w:val="none"/>
        </w:rPr>
        <w:t>投标人盖章：</w:t>
      </w:r>
    </w:p>
    <w:p>
      <w:pPr>
        <w:pageBreakBefore w:val="0"/>
        <w:kinsoku/>
        <w:topLinePunct w:val="0"/>
        <w:autoSpaceDE/>
        <w:autoSpaceDN/>
        <w:bidi w:val="0"/>
        <w:spacing w:after="0" w:line="360" w:lineRule="auto"/>
        <w:ind w:firstLine="359" w:firstLineChars="171"/>
        <w:rPr>
          <w:rFonts w:ascii="宋体" w:hAnsi="宋体" w:eastAsia="宋体"/>
          <w:color w:val="auto"/>
          <w:sz w:val="21"/>
          <w:szCs w:val="21"/>
          <w:highlight w:val="none"/>
        </w:rPr>
      </w:pPr>
      <w:r>
        <w:rPr>
          <w:rFonts w:hint="eastAsia" w:ascii="宋体" w:hAnsi="宋体" w:eastAsia="宋体"/>
          <w:color w:val="auto"/>
          <w:sz w:val="21"/>
          <w:szCs w:val="21"/>
          <w:highlight w:val="none"/>
        </w:rPr>
        <w:t>日期：</w:t>
      </w:r>
    </w:p>
    <w:p>
      <w:pPr>
        <w:pageBreakBefore w:val="0"/>
        <w:kinsoku/>
        <w:topLinePunct w:val="0"/>
        <w:autoSpaceDE/>
        <w:autoSpaceDN/>
        <w:bidi w:val="0"/>
        <w:spacing w:after="0" w:line="360" w:lineRule="auto"/>
        <w:ind w:firstLine="359" w:firstLineChars="171"/>
        <w:rPr>
          <w:rFonts w:ascii="宋体" w:hAnsi="宋体" w:eastAsia="宋体"/>
          <w:color w:val="auto"/>
          <w:sz w:val="21"/>
          <w:szCs w:val="21"/>
          <w:highlight w:val="none"/>
        </w:rPr>
      </w:pPr>
    </w:p>
    <w:p>
      <w:pPr>
        <w:pageBreakBefore w:val="0"/>
        <w:kinsoku/>
        <w:topLinePunct w:val="0"/>
        <w:autoSpaceDE/>
        <w:autoSpaceDN/>
        <w:bidi w:val="0"/>
        <w:spacing w:after="0" w:line="360" w:lineRule="auto"/>
        <w:ind w:left="391" w:hanging="390" w:hangingChars="186"/>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       注：</w:t>
      </w:r>
      <w:r>
        <w:rPr>
          <w:rFonts w:hint="eastAsia" w:ascii="宋体" w:hAnsi="宋体" w:eastAsia="宋体"/>
          <w:color w:val="auto"/>
          <w:sz w:val="21"/>
          <w:szCs w:val="21"/>
          <w:highlight w:val="none"/>
          <w:lang w:val="en-US" w:eastAsia="zh-CN"/>
        </w:rPr>
        <w:t>1</w:t>
      </w:r>
      <w:r>
        <w:rPr>
          <w:rFonts w:hint="eastAsia" w:ascii="宋体" w:hAnsi="宋体" w:eastAsia="宋体"/>
          <w:color w:val="auto"/>
          <w:sz w:val="21"/>
          <w:szCs w:val="21"/>
          <w:highlight w:val="none"/>
        </w:rPr>
        <w:t>、此表应按投标人须知的规定密封标记并与法人代表证明书、法定代表人授权书（法人投标无需提交授权书）</w:t>
      </w:r>
      <w:r>
        <w:rPr>
          <w:rFonts w:hint="eastAsia" w:ascii="宋体" w:hAnsi="宋体" w:eastAsia="宋体"/>
          <w:color w:val="auto"/>
          <w:sz w:val="21"/>
          <w:szCs w:val="21"/>
          <w:highlight w:val="none"/>
          <w:lang w:eastAsia="zh-CN"/>
        </w:rPr>
        <w:t>一同密封提交。还须包括并不限于：投标保证金支付凭证银行汇款底单和投标保证金汇入情况说明。</w:t>
      </w:r>
    </w:p>
    <w:p>
      <w:pPr>
        <w:pageBreakBefore w:val="0"/>
        <w:kinsoku/>
        <w:topLinePunct w:val="0"/>
        <w:autoSpaceDE/>
        <w:autoSpaceDN/>
        <w:bidi w:val="0"/>
        <w:spacing w:after="0" w:line="360" w:lineRule="auto"/>
        <w:ind w:left="374" w:leftChars="170" w:firstLine="359" w:firstLineChars="171"/>
        <w:rPr>
          <w:rFonts w:ascii="宋体" w:hAnsi="宋体" w:eastAsia="宋体"/>
          <w:color w:val="auto"/>
          <w:sz w:val="21"/>
          <w:szCs w:val="21"/>
          <w:highlight w:val="none"/>
        </w:rPr>
      </w:pPr>
      <w:r>
        <w:rPr>
          <w:rFonts w:hint="eastAsia" w:ascii="宋体" w:hAnsi="宋体" w:eastAsia="宋体"/>
          <w:color w:val="auto"/>
          <w:sz w:val="21"/>
          <w:szCs w:val="21"/>
          <w:highlight w:val="none"/>
          <w:lang w:val="en-US" w:eastAsia="zh-CN"/>
        </w:rPr>
        <w:t>2</w:t>
      </w:r>
      <w:r>
        <w:rPr>
          <w:rFonts w:hint="eastAsia" w:ascii="宋体" w:hAnsi="宋体" w:eastAsia="宋体"/>
          <w:color w:val="auto"/>
          <w:sz w:val="21"/>
          <w:szCs w:val="21"/>
          <w:highlight w:val="none"/>
        </w:rPr>
        <w:t>、未按招标文件要求报价、填写开标一览表是导致投标人废标的常见问题，请投标人仔细填写，认真核对。</w:t>
      </w:r>
    </w:p>
    <w:p>
      <w:pPr>
        <w:pageBreakBefore w:val="0"/>
        <w:kinsoku/>
        <w:topLinePunct w:val="0"/>
        <w:autoSpaceDE/>
        <w:autoSpaceDN/>
        <w:bidi w:val="0"/>
        <w:adjustRightInd/>
        <w:snapToGrid/>
        <w:spacing w:line="360" w:lineRule="auto"/>
        <w:rPr>
          <w:color w:val="auto"/>
          <w:highlight w:val="none"/>
        </w:rPr>
      </w:pPr>
    </w:p>
    <w:p>
      <w:pPr>
        <w:pageBreakBefore w:val="0"/>
        <w:kinsoku/>
        <w:topLinePunct w:val="0"/>
        <w:autoSpaceDE/>
        <w:autoSpaceDN/>
        <w:bidi w:val="0"/>
        <w:adjustRightInd/>
        <w:snapToGrid/>
        <w:spacing w:line="360" w:lineRule="auto"/>
        <w:rPr>
          <w:color w:val="auto"/>
          <w:highlight w:val="none"/>
        </w:rPr>
      </w:pPr>
      <w:r>
        <w:rPr>
          <w:color w:val="auto"/>
          <w:highlight w:val="none"/>
        </w:rPr>
        <w:br w:type="page"/>
      </w:r>
    </w:p>
    <w:p>
      <w:pPr>
        <w:pStyle w:val="5"/>
        <w:pageBreakBefore w:val="0"/>
        <w:widowControl w:val="0"/>
        <w:kinsoku/>
        <w:overflowPunct w:val="0"/>
        <w:topLinePunct w:val="0"/>
        <w:autoSpaceDE/>
        <w:autoSpaceDN/>
        <w:bidi w:val="0"/>
        <w:spacing w:before="0" w:after="0" w:line="360" w:lineRule="auto"/>
        <w:rPr>
          <w:rFonts w:ascii="宋体" w:hAnsi="宋体" w:eastAsia="宋体"/>
          <w:color w:val="auto"/>
          <w:sz w:val="21"/>
          <w:szCs w:val="21"/>
          <w:highlight w:val="none"/>
        </w:rPr>
      </w:pPr>
      <w:bookmarkStart w:id="92" w:name="_Toc15530"/>
      <w:r>
        <w:rPr>
          <w:rFonts w:hint="eastAsia" w:ascii="宋体" w:hAnsi="宋体" w:eastAsia="宋体"/>
          <w:color w:val="auto"/>
          <w:sz w:val="21"/>
          <w:szCs w:val="21"/>
          <w:highlight w:val="none"/>
        </w:rPr>
        <w:t xml:space="preserve">附件4. </w:t>
      </w:r>
      <w:r>
        <w:rPr>
          <w:rFonts w:hint="eastAsia" w:ascii="宋体" w:hAnsi="宋体" w:eastAsia="宋体" w:cs="Times New Roman"/>
          <w:color w:val="auto"/>
          <w:sz w:val="21"/>
          <w:szCs w:val="21"/>
          <w:highlight w:val="none"/>
        </w:rPr>
        <w:t>投标分项报价表格式</w:t>
      </w:r>
      <w:bookmarkEnd w:id="92"/>
    </w:p>
    <w:p>
      <w:pPr>
        <w:pageBreakBefore w:val="0"/>
        <w:kinsoku/>
        <w:topLinePunct w:val="0"/>
        <w:autoSpaceDE/>
        <w:autoSpaceDN/>
        <w:bidi w:val="0"/>
        <w:spacing w:line="360" w:lineRule="auto"/>
        <w:jc w:val="center"/>
        <w:rPr>
          <w:rFonts w:ascii="黑体" w:eastAsia="黑体"/>
          <w:color w:val="auto"/>
          <w:sz w:val="32"/>
          <w:szCs w:val="32"/>
          <w:highlight w:val="none"/>
        </w:rPr>
      </w:pPr>
    </w:p>
    <w:p>
      <w:pPr>
        <w:pageBreakBefore w:val="0"/>
        <w:kinsoku/>
        <w:topLinePunct w:val="0"/>
        <w:autoSpaceDE/>
        <w:autoSpaceDN/>
        <w:bidi w:val="0"/>
        <w:spacing w:line="360" w:lineRule="auto"/>
        <w:jc w:val="center"/>
        <w:rPr>
          <w:rFonts w:ascii="黑体" w:eastAsia="黑体"/>
          <w:color w:val="auto"/>
          <w:sz w:val="32"/>
          <w:szCs w:val="32"/>
          <w:highlight w:val="none"/>
        </w:rPr>
      </w:pPr>
      <w:r>
        <w:rPr>
          <w:rFonts w:hint="eastAsia" w:ascii="黑体" w:eastAsia="黑体"/>
          <w:color w:val="auto"/>
          <w:sz w:val="32"/>
          <w:szCs w:val="32"/>
          <w:highlight w:val="none"/>
        </w:rPr>
        <w:t>货物（服务）分项报价表</w:t>
      </w:r>
      <w:r>
        <w:rPr>
          <w:rFonts w:hint="eastAsia" w:ascii="宋体" w:hAnsi="宋体" w:eastAsia="宋体"/>
          <w:color w:val="auto"/>
          <w:sz w:val="21"/>
          <w:szCs w:val="21"/>
          <w:highlight w:val="none"/>
        </w:rPr>
        <w:t xml:space="preserve"> </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375"/>
        <w:gridCol w:w="1916"/>
        <w:gridCol w:w="1050"/>
        <w:gridCol w:w="1103"/>
        <w:gridCol w:w="1183"/>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79"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序号</w:t>
            </w:r>
          </w:p>
        </w:tc>
        <w:tc>
          <w:tcPr>
            <w:tcW w:w="807"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分项</w:t>
            </w:r>
            <w:r>
              <w:rPr>
                <w:rFonts w:hint="eastAsia" w:ascii="宋体" w:hAnsi="宋体" w:eastAsia="宋体"/>
                <w:color w:val="auto"/>
                <w:sz w:val="21"/>
                <w:szCs w:val="21"/>
                <w:highlight w:val="none"/>
              </w:rPr>
              <w:t>名称</w:t>
            </w:r>
          </w:p>
        </w:tc>
        <w:tc>
          <w:tcPr>
            <w:tcW w:w="1124"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分项内容</w:t>
            </w:r>
          </w:p>
        </w:tc>
        <w:tc>
          <w:tcPr>
            <w:tcW w:w="616"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数量</w:t>
            </w:r>
          </w:p>
        </w:tc>
        <w:tc>
          <w:tcPr>
            <w:tcW w:w="645"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单价</w:t>
            </w:r>
          </w:p>
        </w:tc>
        <w:tc>
          <w:tcPr>
            <w:tcW w:w="694" w:type="pct"/>
            <w:vAlign w:val="center"/>
          </w:tcPr>
          <w:p>
            <w:pPr>
              <w:pageBreakBefore w:val="0"/>
              <w:kinsoku/>
              <w:topLinePunct w:val="0"/>
              <w:autoSpaceDE/>
              <w:autoSpaceDN/>
              <w:bidi w:val="0"/>
              <w:spacing w:before="100" w:beforeAutospacing="1" w:after="100" w:afterAutospacing="1" w:line="360" w:lineRule="auto"/>
              <w:jc w:val="cente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总价</w:t>
            </w:r>
          </w:p>
        </w:tc>
        <w:tc>
          <w:tcPr>
            <w:tcW w:w="632"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79" w:type="pct"/>
            <w:vAlign w:val="center"/>
          </w:tcPr>
          <w:p>
            <w:pPr>
              <w:pageBreakBefore w:val="0"/>
              <w:widowControl w:val="0"/>
              <w:kinsoku/>
              <w:topLinePunct w:val="0"/>
              <w:autoSpaceDE/>
              <w:autoSpaceDN/>
              <w:bidi w:val="0"/>
              <w:adjustRightInd/>
              <w:snapToGrid/>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w:t>
            </w:r>
          </w:p>
        </w:tc>
        <w:tc>
          <w:tcPr>
            <w:tcW w:w="807" w:type="pct"/>
            <w:vAlign w:val="center"/>
          </w:tcPr>
          <w:p>
            <w:pPr>
              <w:pageBreakBefore w:val="0"/>
              <w:kinsoku/>
              <w:topLinePunct w:val="0"/>
              <w:autoSpaceDE/>
              <w:autoSpaceDN/>
              <w:bidi w:val="0"/>
              <w:spacing w:before="100" w:beforeAutospacing="1" w:after="100" w:afterAutospacing="1" w:line="360" w:lineRule="auto"/>
              <w:rPr>
                <w:rFonts w:ascii="宋体" w:hAnsi="宋体" w:eastAsia="宋体"/>
                <w:color w:val="auto"/>
                <w:sz w:val="21"/>
                <w:szCs w:val="21"/>
                <w:highlight w:val="none"/>
              </w:rPr>
            </w:pPr>
          </w:p>
        </w:tc>
        <w:tc>
          <w:tcPr>
            <w:tcW w:w="1124"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c>
          <w:tcPr>
            <w:tcW w:w="616"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c>
          <w:tcPr>
            <w:tcW w:w="645"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c>
          <w:tcPr>
            <w:tcW w:w="694"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c>
          <w:tcPr>
            <w:tcW w:w="632"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79" w:type="pct"/>
            <w:vAlign w:val="center"/>
          </w:tcPr>
          <w:p>
            <w:pPr>
              <w:pageBreakBefore w:val="0"/>
              <w:widowControl w:val="0"/>
              <w:kinsoku/>
              <w:topLinePunct w:val="0"/>
              <w:autoSpaceDE/>
              <w:autoSpaceDN/>
              <w:bidi w:val="0"/>
              <w:adjustRightInd/>
              <w:snapToGrid/>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2</w:t>
            </w:r>
          </w:p>
        </w:tc>
        <w:tc>
          <w:tcPr>
            <w:tcW w:w="807" w:type="pct"/>
            <w:vAlign w:val="center"/>
          </w:tcPr>
          <w:p>
            <w:pPr>
              <w:pageBreakBefore w:val="0"/>
              <w:kinsoku/>
              <w:topLinePunct w:val="0"/>
              <w:autoSpaceDE/>
              <w:autoSpaceDN/>
              <w:bidi w:val="0"/>
              <w:spacing w:before="100" w:beforeAutospacing="1" w:after="100" w:afterAutospacing="1" w:line="360" w:lineRule="auto"/>
              <w:rPr>
                <w:rFonts w:ascii="宋体" w:hAnsi="宋体" w:eastAsia="宋体"/>
                <w:color w:val="auto"/>
                <w:sz w:val="21"/>
                <w:szCs w:val="21"/>
                <w:highlight w:val="none"/>
              </w:rPr>
            </w:pPr>
          </w:p>
        </w:tc>
        <w:tc>
          <w:tcPr>
            <w:tcW w:w="1124"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c>
          <w:tcPr>
            <w:tcW w:w="616"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c>
          <w:tcPr>
            <w:tcW w:w="645"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c>
          <w:tcPr>
            <w:tcW w:w="694"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c>
          <w:tcPr>
            <w:tcW w:w="632"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79" w:type="pct"/>
            <w:vAlign w:val="center"/>
          </w:tcPr>
          <w:p>
            <w:pPr>
              <w:pageBreakBefore w:val="0"/>
              <w:widowControl w:val="0"/>
              <w:kinsoku/>
              <w:topLinePunct w:val="0"/>
              <w:autoSpaceDE/>
              <w:autoSpaceDN/>
              <w:bidi w:val="0"/>
              <w:adjustRightInd/>
              <w:snapToGrid/>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3</w:t>
            </w:r>
          </w:p>
        </w:tc>
        <w:tc>
          <w:tcPr>
            <w:tcW w:w="807" w:type="pct"/>
            <w:vAlign w:val="center"/>
          </w:tcPr>
          <w:p>
            <w:pPr>
              <w:pageBreakBefore w:val="0"/>
              <w:kinsoku/>
              <w:topLinePunct w:val="0"/>
              <w:autoSpaceDE/>
              <w:autoSpaceDN/>
              <w:bidi w:val="0"/>
              <w:spacing w:before="100" w:beforeAutospacing="1" w:after="100" w:afterAutospacing="1" w:line="360" w:lineRule="auto"/>
              <w:rPr>
                <w:rFonts w:ascii="宋体" w:hAnsi="宋体" w:eastAsia="宋体"/>
                <w:color w:val="auto"/>
                <w:sz w:val="21"/>
                <w:szCs w:val="21"/>
                <w:highlight w:val="none"/>
              </w:rPr>
            </w:pPr>
          </w:p>
        </w:tc>
        <w:tc>
          <w:tcPr>
            <w:tcW w:w="1124"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c>
          <w:tcPr>
            <w:tcW w:w="616"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c>
          <w:tcPr>
            <w:tcW w:w="645"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c>
          <w:tcPr>
            <w:tcW w:w="694"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c>
          <w:tcPr>
            <w:tcW w:w="632" w:type="pct"/>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3673" w:type="pct"/>
            <w:gridSpan w:val="5"/>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总价</w:t>
            </w:r>
          </w:p>
        </w:tc>
        <w:tc>
          <w:tcPr>
            <w:tcW w:w="1326" w:type="pct"/>
            <w:gridSpan w:val="2"/>
            <w:vAlign w:val="center"/>
          </w:tcPr>
          <w:p>
            <w:pPr>
              <w:pageBreakBefore w:val="0"/>
              <w:kinsoku/>
              <w:topLinePunct w:val="0"/>
              <w:autoSpaceDE/>
              <w:autoSpaceDN/>
              <w:bidi w:val="0"/>
              <w:spacing w:before="100" w:beforeAutospacing="1" w:after="100" w:afterAutospacing="1"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trPr>
        <w:tc>
          <w:tcPr>
            <w:tcW w:w="5000" w:type="pct"/>
            <w:gridSpan w:val="7"/>
            <w:vAlign w:val="center"/>
          </w:tcPr>
          <w:p>
            <w:pPr>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投标人代表签字：</w:t>
            </w:r>
          </w:p>
          <w:p>
            <w:pPr>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投标人盖章：</w:t>
            </w:r>
          </w:p>
          <w:p>
            <w:pPr>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日期：</w:t>
            </w:r>
          </w:p>
        </w:tc>
      </w:tr>
    </w:tbl>
    <w:p>
      <w:pPr>
        <w:pageBreakBefore w:val="0"/>
        <w:kinsoku/>
        <w:topLinePunct w:val="0"/>
        <w:autoSpaceDE/>
        <w:autoSpaceDN/>
        <w:bidi w:val="0"/>
        <w:spacing w:line="360" w:lineRule="auto"/>
        <w:rPr>
          <w:rFonts w:ascii="宋体" w:hAnsi="宋体" w:eastAsia="宋体" w:cs="宋体"/>
          <w:b/>
          <w:color w:val="auto"/>
          <w:sz w:val="21"/>
          <w:szCs w:val="21"/>
          <w:highlight w:val="none"/>
        </w:rPr>
      </w:pPr>
    </w:p>
    <w:p>
      <w:pPr>
        <w:pageBreakBefore w:val="0"/>
        <w:kinsoku/>
        <w:topLinePunct w:val="0"/>
        <w:autoSpaceDE/>
        <w:autoSpaceDN/>
        <w:bidi w:val="0"/>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ageBreakBefore w:val="0"/>
        <w:kinsoku/>
        <w:topLinePunct w:val="0"/>
        <w:autoSpaceDE/>
        <w:autoSpaceDN/>
        <w:bidi w:val="0"/>
        <w:spacing w:line="360" w:lineRule="auto"/>
        <w:jc w:val="center"/>
        <w:rPr>
          <w:rFonts w:ascii="黑体" w:eastAsia="黑体"/>
          <w:color w:val="auto"/>
          <w:sz w:val="32"/>
          <w:szCs w:val="32"/>
          <w:highlight w:val="none"/>
        </w:rPr>
      </w:pPr>
    </w:p>
    <w:p>
      <w:pPr>
        <w:pageBreakBefore w:val="0"/>
        <w:kinsoku/>
        <w:topLinePunct w:val="0"/>
        <w:autoSpaceDE/>
        <w:autoSpaceDN/>
        <w:bidi w:val="0"/>
        <w:spacing w:line="360" w:lineRule="auto"/>
        <w:jc w:val="center"/>
        <w:rPr>
          <w:rFonts w:ascii="黑体" w:eastAsia="黑体"/>
          <w:color w:val="auto"/>
          <w:sz w:val="32"/>
          <w:szCs w:val="32"/>
          <w:highlight w:val="none"/>
        </w:rPr>
      </w:pPr>
      <w:r>
        <w:rPr>
          <w:rFonts w:hint="eastAsia" w:ascii="黑体" w:eastAsia="黑体"/>
          <w:color w:val="auto"/>
          <w:sz w:val="32"/>
          <w:szCs w:val="32"/>
          <w:highlight w:val="none"/>
        </w:rPr>
        <w:t>节能产品或环境标志产品列价表</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1381"/>
        <w:gridCol w:w="1316"/>
        <w:gridCol w:w="1067"/>
        <w:gridCol w:w="1149"/>
        <w:gridCol w:w="849"/>
        <w:gridCol w:w="832"/>
        <w:gridCol w:w="1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513"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810"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货物名称</w:t>
            </w:r>
          </w:p>
        </w:tc>
        <w:tc>
          <w:tcPr>
            <w:tcW w:w="772"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规格型号</w:t>
            </w:r>
          </w:p>
        </w:tc>
        <w:tc>
          <w:tcPr>
            <w:tcW w:w="626"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674"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单价</w:t>
            </w:r>
          </w:p>
        </w:tc>
        <w:tc>
          <w:tcPr>
            <w:tcW w:w="498"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总价</w:t>
            </w:r>
          </w:p>
        </w:tc>
        <w:tc>
          <w:tcPr>
            <w:tcW w:w="488"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c>
          <w:tcPr>
            <w:tcW w:w="616"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认证机构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513"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0"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772"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626"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674"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498"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488"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616"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513"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0"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772"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626"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674"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498"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488"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616"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513"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0"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772"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626"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674"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498"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488"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616"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513"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10"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772"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626"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674"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498"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488"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c>
          <w:tcPr>
            <w:tcW w:w="616" w:type="pct"/>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trPr>
        <w:tc>
          <w:tcPr>
            <w:tcW w:w="1323" w:type="pct"/>
            <w:gridSpan w:val="2"/>
            <w:vAlign w:val="center"/>
          </w:tcPr>
          <w:p>
            <w:pPr>
              <w:pageBreakBefore w:val="0"/>
              <w:kinsoku/>
              <w:topLinePunct w:val="0"/>
              <w:autoSpaceDE/>
              <w:autoSpaceDN/>
              <w:bidi w:val="0"/>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总计</w:t>
            </w:r>
          </w:p>
        </w:tc>
        <w:tc>
          <w:tcPr>
            <w:tcW w:w="3676" w:type="pct"/>
            <w:gridSpan w:val="6"/>
            <w:vAlign w:val="center"/>
          </w:tcPr>
          <w:p>
            <w:pPr>
              <w:pageBreakBefore w:val="0"/>
              <w:kinsoku/>
              <w:topLinePunct w:val="0"/>
              <w:autoSpaceDE/>
              <w:autoSpaceDN/>
              <w:bidi w:val="0"/>
              <w:spacing w:after="0" w:line="360" w:lineRule="auto"/>
              <w:rPr>
                <w:rFonts w:ascii="宋体" w:hAnsi="宋体" w:eastAsia="宋体" w:cs="宋体"/>
                <w:color w:val="auto"/>
                <w:sz w:val="21"/>
                <w:szCs w:val="21"/>
                <w:highlight w:val="none"/>
              </w:rPr>
            </w:pPr>
            <w:r>
              <w:rPr>
                <w:rStyle w:val="35"/>
                <w:rFonts w:hint="eastAsia" w:ascii="宋体" w:hAnsi="宋体" w:eastAsia="宋体" w:cs="宋体"/>
                <w:color w:val="auto"/>
                <w:sz w:val="21"/>
                <w:szCs w:val="21"/>
                <w:highlight w:val="none"/>
              </w:rPr>
              <w:t>￥    元（大写人民币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8" w:hRule="atLeast"/>
        </w:trPr>
        <w:tc>
          <w:tcPr>
            <w:tcW w:w="5000" w:type="pct"/>
            <w:gridSpan w:val="8"/>
            <w:vAlign w:val="center"/>
          </w:tcPr>
          <w:p>
            <w:pPr>
              <w:pageBreakBefore w:val="0"/>
              <w:tabs>
                <w:tab w:val="left" w:pos="284"/>
              </w:tabs>
              <w:kinsoku/>
              <w:topLinePunct w:val="0"/>
              <w:autoSpaceDE/>
              <w:autoSpaceDN/>
              <w:bidi w:val="0"/>
              <w:spacing w:after="0" w:line="360" w:lineRule="auto"/>
              <w:rPr>
                <w:rStyle w:val="35"/>
                <w:rFonts w:ascii="宋体" w:hAnsi="宋体" w:eastAsia="宋体" w:cs="宋体"/>
                <w:b/>
                <w:color w:val="auto"/>
                <w:sz w:val="21"/>
                <w:szCs w:val="21"/>
                <w:highlight w:val="none"/>
              </w:rPr>
            </w:pPr>
            <w:r>
              <w:rPr>
                <w:rStyle w:val="35"/>
                <w:rFonts w:hint="eastAsia" w:ascii="宋体" w:hAnsi="宋体" w:eastAsia="宋体" w:cs="宋体"/>
                <w:b/>
                <w:color w:val="auto"/>
                <w:sz w:val="21"/>
                <w:szCs w:val="21"/>
                <w:highlight w:val="none"/>
              </w:rPr>
              <w:t>注：1、投标人在“货物（服务）分项报价表”中的报价内容中，如有属于节能产品或环境标志产的，必须在此表单独列明且提供相应的证明材料，否则在计算价格得分时不予以相应的扣除；</w:t>
            </w:r>
          </w:p>
          <w:p>
            <w:pPr>
              <w:pageBreakBefore w:val="0"/>
              <w:tabs>
                <w:tab w:val="left" w:pos="284"/>
              </w:tabs>
              <w:kinsoku/>
              <w:topLinePunct w:val="0"/>
              <w:autoSpaceDE/>
              <w:autoSpaceDN/>
              <w:bidi w:val="0"/>
              <w:spacing w:after="0" w:line="360" w:lineRule="auto"/>
              <w:rPr>
                <w:rStyle w:val="35"/>
                <w:rFonts w:ascii="宋体" w:hAnsi="宋体" w:eastAsia="宋体" w:cs="宋体"/>
                <w:b/>
                <w:color w:val="auto"/>
                <w:sz w:val="21"/>
                <w:szCs w:val="21"/>
                <w:highlight w:val="none"/>
              </w:rPr>
            </w:pPr>
            <w:r>
              <w:rPr>
                <w:rStyle w:val="35"/>
                <w:rFonts w:hint="eastAsia" w:ascii="宋体" w:hAnsi="宋体" w:eastAsia="宋体" w:cs="宋体"/>
                <w:b/>
                <w:color w:val="auto"/>
                <w:sz w:val="21"/>
                <w:szCs w:val="21"/>
                <w:highlight w:val="none"/>
              </w:rPr>
              <w:t>2、投标人应该如实填写，如投标人所投产品中无节能或环保产品的，请留空或删除此表！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7" w:hRule="atLeast"/>
        </w:trPr>
        <w:tc>
          <w:tcPr>
            <w:tcW w:w="5000" w:type="pct"/>
            <w:gridSpan w:val="8"/>
            <w:vAlign w:val="center"/>
          </w:tcPr>
          <w:p>
            <w:pPr>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投标人代表签字：</w:t>
            </w:r>
          </w:p>
          <w:p>
            <w:pPr>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投标人盖章：</w:t>
            </w:r>
          </w:p>
          <w:p>
            <w:pPr>
              <w:pageBreakBefore w:val="0"/>
              <w:tabs>
                <w:tab w:val="left" w:pos="284"/>
              </w:tabs>
              <w:kinsoku/>
              <w:topLinePunct w:val="0"/>
              <w:autoSpaceDE/>
              <w:autoSpaceDN/>
              <w:bidi w:val="0"/>
              <w:spacing w:after="0" w:line="360" w:lineRule="auto"/>
              <w:rPr>
                <w:rStyle w:val="35"/>
                <w:rFonts w:ascii="宋体" w:hAnsi="宋体" w:eastAsia="宋体" w:cs="宋体"/>
                <w:b/>
                <w:color w:val="auto"/>
                <w:sz w:val="21"/>
                <w:szCs w:val="21"/>
                <w:highlight w:val="none"/>
              </w:rPr>
            </w:pPr>
            <w:r>
              <w:rPr>
                <w:rFonts w:hint="eastAsia" w:ascii="宋体" w:hAnsi="宋体" w:eastAsia="宋体"/>
                <w:color w:val="auto"/>
                <w:sz w:val="21"/>
                <w:szCs w:val="21"/>
                <w:highlight w:val="none"/>
              </w:rPr>
              <w:t>日期：</w:t>
            </w:r>
          </w:p>
        </w:tc>
      </w:tr>
    </w:tbl>
    <w:p>
      <w:pPr>
        <w:pageBreakBefore w:val="0"/>
        <w:kinsoku/>
        <w:topLinePunct w:val="0"/>
        <w:autoSpaceDE/>
        <w:autoSpaceDN/>
        <w:bidi w:val="0"/>
        <w:spacing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Style w:val="5"/>
        <w:pageBreakBefore w:val="0"/>
        <w:widowControl w:val="0"/>
        <w:kinsoku/>
        <w:overflowPunct w:val="0"/>
        <w:topLinePunct w:val="0"/>
        <w:autoSpaceDE/>
        <w:autoSpaceDN/>
        <w:bidi w:val="0"/>
        <w:spacing w:before="0" w:after="0" w:line="360" w:lineRule="auto"/>
        <w:rPr>
          <w:rFonts w:ascii="宋体" w:hAnsi="宋体" w:eastAsia="宋体"/>
          <w:color w:val="auto"/>
          <w:sz w:val="21"/>
          <w:szCs w:val="21"/>
          <w:highlight w:val="none"/>
        </w:rPr>
      </w:pPr>
      <w:bookmarkStart w:id="93" w:name="_Toc13261"/>
      <w:r>
        <w:rPr>
          <w:rFonts w:hint="eastAsia" w:ascii="宋体" w:hAnsi="宋体" w:eastAsia="宋体"/>
          <w:color w:val="auto"/>
          <w:sz w:val="21"/>
          <w:szCs w:val="21"/>
          <w:highlight w:val="none"/>
        </w:rPr>
        <w:t>附件5. 法定代表人证明书格式</w:t>
      </w:r>
      <w:bookmarkEnd w:id="93"/>
    </w:p>
    <w:p>
      <w:pPr>
        <w:pageBreakBefore w:val="0"/>
        <w:kinsoku/>
        <w:topLinePunct w:val="0"/>
        <w:autoSpaceDE/>
        <w:autoSpaceDN/>
        <w:bidi w:val="0"/>
        <w:spacing w:line="360" w:lineRule="auto"/>
        <w:rPr>
          <w:color w:val="auto"/>
          <w:highlight w:val="none"/>
        </w:rPr>
      </w:pPr>
    </w:p>
    <w:p>
      <w:pPr>
        <w:jc w:val="center"/>
        <w:rPr>
          <w:rFonts w:ascii="黑体" w:eastAsia="黑体"/>
          <w:color w:val="auto"/>
          <w:sz w:val="28"/>
          <w:szCs w:val="28"/>
          <w:highlight w:val="none"/>
        </w:rPr>
      </w:pPr>
      <w:r>
        <w:rPr>
          <w:rFonts w:hint="eastAsia" w:ascii="黑体" w:eastAsia="黑体"/>
          <w:color w:val="auto"/>
          <w:sz w:val="28"/>
          <w:szCs w:val="28"/>
          <w:highlight w:val="none"/>
        </w:rPr>
        <w:t>法定代表人证明书</w:t>
      </w:r>
    </w:p>
    <w:p>
      <w:pPr>
        <w:pStyle w:val="28"/>
        <w:spacing w:line="420" w:lineRule="atLeast"/>
        <w:ind w:firstLine="0" w:firstLineChars="0"/>
        <w:rPr>
          <w:rFonts w:ascii="宋体" w:eastAsia="宋体"/>
          <w:color w:val="auto"/>
          <w:sz w:val="21"/>
          <w:szCs w:val="21"/>
          <w:highlight w:val="none"/>
        </w:rPr>
      </w:pPr>
      <w:r>
        <w:rPr>
          <w:rFonts w:hint="eastAsia" w:ascii="宋体" w:eastAsia="宋体"/>
          <w:color w:val="auto"/>
          <w:sz w:val="21"/>
          <w:szCs w:val="21"/>
          <w:highlight w:val="none"/>
        </w:rPr>
        <w:t>致：三方诚信招标有限公司东莞分公司</w:t>
      </w:r>
    </w:p>
    <w:p>
      <w:pPr>
        <w:pStyle w:val="28"/>
        <w:spacing w:line="420" w:lineRule="atLeast"/>
        <w:ind w:firstLine="433"/>
        <w:rPr>
          <w:rFonts w:ascii="宋体" w:eastAsia="宋体"/>
          <w:color w:val="auto"/>
          <w:sz w:val="21"/>
          <w:szCs w:val="21"/>
          <w:highlight w:val="none"/>
        </w:rPr>
      </w:pPr>
    </w:p>
    <w:p>
      <w:pPr>
        <w:pStyle w:val="28"/>
        <w:spacing w:line="420" w:lineRule="atLeast"/>
        <w:ind w:firstLine="433"/>
        <w:rPr>
          <w:rFonts w:hint="eastAsia" w:ascii="宋体" w:eastAsia="宋体"/>
          <w:color w:val="auto"/>
          <w:sz w:val="21"/>
          <w:szCs w:val="21"/>
          <w:highlight w:val="none"/>
          <w:u w:val="single"/>
          <w:lang w:eastAsia="zh-CN"/>
        </w:rPr>
      </w:pPr>
      <w:r>
        <w:rPr>
          <w:rFonts w:hint="eastAsia" w:ascii="宋体" w:eastAsia="宋体"/>
          <w:color w:val="auto"/>
          <w:sz w:val="21"/>
          <w:szCs w:val="21"/>
          <w:highlight w:val="none"/>
        </w:rPr>
        <w:t>投标人名称</w:t>
      </w:r>
      <w:r>
        <w:rPr>
          <w:rFonts w:hint="eastAsia" w:ascii="宋体" w:eastAsia="宋体"/>
          <w:color w:val="auto"/>
          <w:sz w:val="21"/>
          <w:szCs w:val="21"/>
          <w:highlight w:val="none"/>
          <w:lang w:eastAsia="zh-CN"/>
        </w:rPr>
        <w:t>：</w:t>
      </w:r>
    </w:p>
    <w:p>
      <w:pPr>
        <w:pStyle w:val="28"/>
        <w:spacing w:line="420" w:lineRule="atLeast"/>
        <w:ind w:firstLine="433"/>
        <w:rPr>
          <w:rFonts w:ascii="宋体" w:eastAsia="宋体"/>
          <w:color w:val="auto"/>
          <w:sz w:val="21"/>
          <w:szCs w:val="21"/>
          <w:highlight w:val="none"/>
          <w:u w:val="single"/>
        </w:rPr>
      </w:pPr>
      <w:r>
        <w:rPr>
          <w:rFonts w:hint="eastAsia" w:ascii="宋体" w:eastAsia="宋体"/>
          <w:color w:val="auto"/>
          <w:sz w:val="21"/>
          <w:szCs w:val="21"/>
          <w:highlight w:val="none"/>
        </w:rPr>
        <w:t>单 位 性质：</w:t>
      </w:r>
    </w:p>
    <w:p>
      <w:pPr>
        <w:pStyle w:val="28"/>
        <w:spacing w:line="420" w:lineRule="atLeast"/>
        <w:ind w:firstLine="433"/>
        <w:rPr>
          <w:rFonts w:ascii="宋体" w:eastAsia="宋体"/>
          <w:color w:val="auto"/>
          <w:sz w:val="21"/>
          <w:szCs w:val="21"/>
          <w:highlight w:val="none"/>
          <w:u w:val="single"/>
        </w:rPr>
      </w:pPr>
      <w:r>
        <w:rPr>
          <w:rFonts w:hint="eastAsia" w:ascii="宋体" w:eastAsia="宋体"/>
          <w:color w:val="auto"/>
          <w:sz w:val="21"/>
          <w:szCs w:val="21"/>
          <w:highlight w:val="none"/>
        </w:rPr>
        <w:t>地      址：</w:t>
      </w:r>
    </w:p>
    <w:p>
      <w:pPr>
        <w:pStyle w:val="28"/>
        <w:spacing w:line="420" w:lineRule="atLeast"/>
        <w:ind w:firstLine="433"/>
        <w:rPr>
          <w:rFonts w:ascii="宋体" w:eastAsia="宋体"/>
          <w:color w:val="auto"/>
          <w:sz w:val="21"/>
          <w:szCs w:val="21"/>
          <w:highlight w:val="none"/>
        </w:rPr>
      </w:pPr>
      <w:r>
        <w:rPr>
          <w:rFonts w:hint="eastAsia" w:ascii="宋体" w:eastAsia="宋体"/>
          <w:color w:val="auto"/>
          <w:sz w:val="21"/>
          <w:szCs w:val="21"/>
          <w:highlight w:val="none"/>
        </w:rPr>
        <w:t>成 立 时间：</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年</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月</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日</w:t>
      </w:r>
    </w:p>
    <w:p>
      <w:pPr>
        <w:pStyle w:val="28"/>
        <w:spacing w:line="420" w:lineRule="atLeast"/>
        <w:ind w:firstLine="433"/>
        <w:rPr>
          <w:rFonts w:ascii="宋体" w:eastAsia="宋体"/>
          <w:color w:val="auto"/>
          <w:sz w:val="21"/>
          <w:szCs w:val="21"/>
          <w:highlight w:val="none"/>
        </w:rPr>
      </w:pPr>
      <w:r>
        <w:rPr>
          <w:rFonts w:hint="eastAsia" w:ascii="宋体" w:eastAsia="宋体"/>
          <w:color w:val="auto"/>
          <w:sz w:val="21"/>
          <w:szCs w:val="21"/>
          <w:highlight w:val="none"/>
        </w:rPr>
        <w:t>经 营 期限：</w:t>
      </w:r>
      <w:r>
        <w:rPr>
          <w:rFonts w:hint="eastAsia" w:ascii="宋体" w:eastAsia="宋体"/>
          <w:color w:val="auto"/>
          <w:sz w:val="21"/>
          <w:szCs w:val="21"/>
          <w:highlight w:val="none"/>
          <w:u w:val="single"/>
        </w:rPr>
        <w:t xml:space="preserve">                                      </w:t>
      </w:r>
    </w:p>
    <w:p>
      <w:pPr>
        <w:pStyle w:val="28"/>
        <w:spacing w:line="420" w:lineRule="atLeast"/>
        <w:ind w:firstLine="433"/>
        <w:rPr>
          <w:rFonts w:ascii="宋体" w:eastAsia="宋体"/>
          <w:color w:val="auto"/>
          <w:sz w:val="21"/>
          <w:szCs w:val="21"/>
          <w:highlight w:val="none"/>
        </w:rPr>
      </w:pPr>
      <w:r>
        <w:rPr>
          <w:rFonts w:hint="eastAsia" w:ascii="宋体" w:eastAsia="宋体"/>
          <w:color w:val="auto"/>
          <w:sz w:val="21"/>
          <w:szCs w:val="21"/>
          <w:highlight w:val="none"/>
        </w:rPr>
        <w:t>姓名：</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性别：</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年龄：</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职务：</w:t>
      </w:r>
      <w:r>
        <w:rPr>
          <w:rFonts w:hint="eastAsia" w:ascii="宋体" w:eastAsia="宋体"/>
          <w:color w:val="auto"/>
          <w:sz w:val="21"/>
          <w:szCs w:val="21"/>
          <w:highlight w:val="none"/>
          <w:u w:val="single"/>
        </w:rPr>
        <w:t xml:space="preserve">            </w:t>
      </w:r>
    </w:p>
    <w:p>
      <w:pPr>
        <w:pStyle w:val="28"/>
        <w:spacing w:line="420" w:lineRule="atLeast"/>
        <w:ind w:firstLine="433"/>
        <w:rPr>
          <w:rFonts w:ascii="宋体" w:eastAsia="宋体"/>
          <w:color w:val="auto"/>
          <w:sz w:val="21"/>
          <w:szCs w:val="21"/>
          <w:highlight w:val="none"/>
        </w:rPr>
      </w:pPr>
      <w:r>
        <w:rPr>
          <w:rFonts w:hint="eastAsia" w:ascii="宋体" w:eastAsia="宋体"/>
          <w:color w:val="auto"/>
          <w:sz w:val="21"/>
          <w:szCs w:val="21"/>
          <w:highlight w:val="none"/>
        </w:rPr>
        <w:t>系</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（投标人名称）的法定代表人。</w:t>
      </w:r>
    </w:p>
    <w:p>
      <w:pPr>
        <w:spacing w:line="420" w:lineRule="atLeas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特此证明。</w:t>
      </w:r>
    </w:p>
    <w:p>
      <w:pPr>
        <w:pStyle w:val="28"/>
        <w:spacing w:line="500" w:lineRule="atLeast"/>
        <w:ind w:firstLine="3517" w:firstLineChars="1675"/>
        <w:rPr>
          <w:rFonts w:ascii="宋体" w:eastAsia="宋体"/>
          <w:color w:val="auto"/>
          <w:sz w:val="21"/>
          <w:szCs w:val="21"/>
          <w:highlight w:val="none"/>
        </w:rPr>
      </w:pPr>
    </w:p>
    <w:p>
      <w:pPr>
        <w:pStyle w:val="28"/>
        <w:spacing w:line="500" w:lineRule="atLeast"/>
        <w:ind w:firstLine="3517" w:firstLineChars="1675"/>
        <w:rPr>
          <w:rFonts w:ascii="宋体" w:eastAsia="宋体"/>
          <w:color w:val="auto"/>
          <w:sz w:val="21"/>
          <w:szCs w:val="21"/>
          <w:highlight w:val="none"/>
        </w:rPr>
      </w:pPr>
      <w:r>
        <w:rPr>
          <w:rFonts w:hint="eastAsia" w:ascii="宋体" w:eastAsia="宋体"/>
          <w:color w:val="auto"/>
          <w:sz w:val="21"/>
          <w:szCs w:val="21"/>
          <w:highlight w:val="none"/>
        </w:rPr>
        <w:t>投标人名称（加盖公章）：</w:t>
      </w:r>
      <w:r>
        <w:rPr>
          <w:rFonts w:hint="eastAsia" w:ascii="宋体" w:eastAsia="宋体"/>
          <w:color w:val="auto"/>
          <w:sz w:val="21"/>
          <w:szCs w:val="21"/>
          <w:highlight w:val="none"/>
          <w:u w:val="single"/>
        </w:rPr>
        <w:t xml:space="preserve">                  </w:t>
      </w:r>
    </w:p>
    <w:p>
      <w:pPr>
        <w:pStyle w:val="28"/>
        <w:spacing w:line="500" w:lineRule="atLeast"/>
        <w:ind w:firstLine="3517" w:firstLineChars="1675"/>
        <w:rPr>
          <w:rFonts w:ascii="宋体" w:eastAsia="宋体"/>
          <w:color w:val="auto"/>
          <w:sz w:val="21"/>
          <w:szCs w:val="21"/>
          <w:highlight w:val="none"/>
        </w:rPr>
      </w:pPr>
      <w:r>
        <w:rPr>
          <w:rFonts w:hint="eastAsia" w:ascii="宋体" w:eastAsia="宋体"/>
          <w:color w:val="auto"/>
          <w:sz w:val="21"/>
          <w:szCs w:val="21"/>
          <w:highlight w:val="none"/>
        </w:rPr>
        <w:t>法定代表人（签名或盖私章）：</w:t>
      </w:r>
      <w:r>
        <w:rPr>
          <w:rFonts w:hint="eastAsia" w:ascii="宋体" w:eastAsia="宋体"/>
          <w:color w:val="auto"/>
          <w:sz w:val="21"/>
          <w:szCs w:val="21"/>
          <w:highlight w:val="none"/>
          <w:u w:val="single"/>
        </w:rPr>
        <w:t xml:space="preserve">               </w:t>
      </w:r>
    </w:p>
    <w:p>
      <w:pPr>
        <w:pStyle w:val="28"/>
        <w:spacing w:line="500" w:lineRule="atLeast"/>
        <w:ind w:firstLine="3517" w:firstLineChars="1675"/>
        <w:rPr>
          <w:rFonts w:ascii="宋体" w:eastAsia="宋体"/>
          <w:color w:val="auto"/>
          <w:sz w:val="21"/>
          <w:szCs w:val="21"/>
          <w:highlight w:val="none"/>
        </w:rPr>
      </w:pPr>
      <w:r>
        <w:rPr>
          <w:rFonts w:hint="eastAsia" w:ascii="宋体" w:eastAsia="宋体"/>
          <w:color w:val="auto"/>
          <w:sz w:val="21"/>
          <w:szCs w:val="21"/>
          <w:highlight w:val="none"/>
        </w:rPr>
        <w:t>法定代表人联系方式：</w:t>
      </w:r>
    </w:p>
    <w:p>
      <w:pPr>
        <w:pStyle w:val="28"/>
        <w:spacing w:line="500" w:lineRule="atLeast"/>
        <w:ind w:firstLine="3517" w:firstLineChars="1675"/>
        <w:rPr>
          <w:rFonts w:ascii="宋体" w:eastAsia="宋体"/>
          <w:color w:val="auto"/>
          <w:sz w:val="21"/>
          <w:szCs w:val="21"/>
          <w:highlight w:val="none"/>
          <w:u w:val="single"/>
        </w:rPr>
      </w:pPr>
      <w:r>
        <w:rPr>
          <w:rFonts w:hint="eastAsia" w:ascii="宋体" w:eastAsia="宋体"/>
          <w:color w:val="auto"/>
          <w:sz w:val="21"/>
          <w:szCs w:val="21"/>
          <w:highlight w:val="none"/>
        </w:rPr>
        <w:t>身份证号码：</w:t>
      </w:r>
      <w:r>
        <w:rPr>
          <w:rFonts w:hint="eastAsia" w:ascii="宋体" w:eastAsia="宋体"/>
          <w:color w:val="auto"/>
          <w:sz w:val="21"/>
          <w:szCs w:val="21"/>
          <w:highlight w:val="none"/>
          <w:u w:val="single"/>
        </w:rPr>
        <w:t xml:space="preserve">                              </w:t>
      </w:r>
    </w:p>
    <w:p>
      <w:pPr>
        <w:pStyle w:val="28"/>
        <w:spacing w:line="500" w:lineRule="atLeast"/>
        <w:ind w:firstLine="3507" w:firstLineChars="1670"/>
        <w:rPr>
          <w:rFonts w:ascii="宋体" w:eastAsia="宋体"/>
          <w:color w:val="auto"/>
          <w:sz w:val="21"/>
          <w:szCs w:val="21"/>
          <w:highlight w:val="none"/>
        </w:rPr>
      </w:pPr>
      <w:r>
        <w:rPr>
          <w:rFonts w:hint="eastAsia" w:ascii="宋体" w:eastAsia="宋体"/>
          <w:color w:val="auto"/>
          <w:sz w:val="21"/>
          <w:szCs w:val="21"/>
          <w:highlight w:val="none"/>
        </w:rPr>
        <w:t>日     期：</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年</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月</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日</w:t>
      </w:r>
    </w:p>
    <w:p>
      <w:pPr>
        <w:ind w:firstLine="420" w:firstLineChars="200"/>
        <w:rPr>
          <w:rFonts w:ascii="宋体" w:hAnsi="宋体" w:eastAsia="宋体"/>
          <w:color w:val="auto"/>
          <w:sz w:val="21"/>
          <w:szCs w:val="21"/>
          <w:highlight w:val="none"/>
        </w:rPr>
      </w:pPr>
    </w:p>
    <w:p>
      <w:pPr>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注：法定代表人身份证明书需附法人代表身份证复印件。</w:t>
      </w:r>
    </w:p>
    <w:tbl>
      <w:tblPr>
        <w:tblStyle w:val="17"/>
        <w:tblW w:w="8364" w:type="dxa"/>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182"/>
        <w:gridCol w:w="418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517" w:hRule="atLeast"/>
          <w:jc w:val="center"/>
        </w:trPr>
        <w:tc>
          <w:tcPr>
            <w:tcW w:w="4182" w:type="dxa"/>
            <w:vAlign w:val="center"/>
          </w:tcPr>
          <w:p>
            <w:pPr>
              <w:pStyle w:val="28"/>
              <w:spacing w:line="460" w:lineRule="exact"/>
              <w:ind w:firstLine="0" w:firstLineChars="0"/>
              <w:jc w:val="center"/>
              <w:rPr>
                <w:rFonts w:ascii="宋体" w:eastAsia="宋体"/>
                <w:color w:val="auto"/>
                <w:sz w:val="22"/>
                <w:highlight w:val="none"/>
              </w:rPr>
            </w:pPr>
            <w:r>
              <w:rPr>
                <w:rFonts w:hint="eastAsia" w:ascii="宋体" w:eastAsia="宋体"/>
                <w:color w:val="auto"/>
                <w:sz w:val="22"/>
                <w:highlight w:val="none"/>
              </w:rPr>
              <w:t>正面</w:t>
            </w:r>
          </w:p>
        </w:tc>
        <w:tc>
          <w:tcPr>
            <w:tcW w:w="4182" w:type="dxa"/>
            <w:vAlign w:val="center"/>
          </w:tcPr>
          <w:p>
            <w:pPr>
              <w:pStyle w:val="28"/>
              <w:spacing w:line="460" w:lineRule="exact"/>
              <w:ind w:firstLine="0" w:firstLineChars="0"/>
              <w:jc w:val="center"/>
              <w:rPr>
                <w:rFonts w:ascii="宋体" w:eastAsia="宋体"/>
                <w:color w:val="auto"/>
                <w:sz w:val="22"/>
                <w:highlight w:val="none"/>
              </w:rPr>
            </w:pPr>
            <w:r>
              <w:rPr>
                <w:rFonts w:hint="eastAsia" w:ascii="宋体" w:eastAsia="宋体"/>
                <w:color w:val="auto"/>
                <w:sz w:val="22"/>
                <w:highlight w:val="none"/>
              </w:rPr>
              <w:t>背面</w:t>
            </w:r>
          </w:p>
        </w:tc>
      </w:tr>
    </w:tbl>
    <w:p>
      <w:pPr>
        <w:pageBreakBefore w:val="0"/>
        <w:kinsoku/>
        <w:topLinePunct w:val="0"/>
        <w:autoSpaceDE/>
        <w:autoSpaceDN/>
        <w:bidi w:val="0"/>
        <w:spacing w:line="360" w:lineRule="auto"/>
        <w:rPr>
          <w:color w:val="auto"/>
          <w:highlight w:val="none"/>
        </w:rPr>
      </w:pPr>
    </w:p>
    <w:p>
      <w:pPr>
        <w:pageBreakBefore w:val="0"/>
        <w:kinsoku/>
        <w:topLinePunct w:val="0"/>
        <w:autoSpaceDE/>
        <w:autoSpaceDN/>
        <w:bidi w:val="0"/>
        <w:adjustRightInd/>
        <w:snapToGrid/>
        <w:spacing w:line="360" w:lineRule="auto"/>
        <w:rPr>
          <w:rFonts w:ascii="楷体_GB2312" w:eastAsia="楷体_GB2312" w:hAnsiTheme="majorHAnsi" w:cstheme="majorBidi"/>
          <w:b/>
          <w:bCs/>
          <w:color w:val="auto"/>
          <w:sz w:val="24"/>
          <w:szCs w:val="28"/>
          <w:highlight w:val="none"/>
        </w:rPr>
      </w:pPr>
      <w:r>
        <w:rPr>
          <w:rFonts w:ascii="楷体_GB2312" w:eastAsia="楷体_GB2312"/>
          <w:color w:val="auto"/>
          <w:sz w:val="24"/>
          <w:highlight w:val="none"/>
        </w:rPr>
        <w:br w:type="page"/>
      </w:r>
    </w:p>
    <w:p>
      <w:pPr>
        <w:pStyle w:val="5"/>
        <w:pageBreakBefore w:val="0"/>
        <w:widowControl w:val="0"/>
        <w:kinsoku/>
        <w:overflowPunct w:val="0"/>
        <w:topLinePunct w:val="0"/>
        <w:autoSpaceDE/>
        <w:autoSpaceDN/>
        <w:bidi w:val="0"/>
        <w:spacing w:before="0" w:after="0" w:line="360" w:lineRule="auto"/>
        <w:rPr>
          <w:color w:val="auto"/>
          <w:highlight w:val="none"/>
        </w:rPr>
      </w:pPr>
      <w:bookmarkStart w:id="94" w:name="_Toc19428"/>
      <w:r>
        <w:rPr>
          <w:rFonts w:hint="eastAsia" w:ascii="宋体" w:hAnsi="宋体" w:eastAsia="宋体"/>
          <w:color w:val="auto"/>
          <w:sz w:val="21"/>
          <w:szCs w:val="21"/>
          <w:highlight w:val="none"/>
        </w:rPr>
        <w:t>附件6.法定代表人授权书格式</w:t>
      </w:r>
      <w:bookmarkEnd w:id="94"/>
    </w:p>
    <w:p>
      <w:pPr>
        <w:pageBreakBefore w:val="0"/>
        <w:kinsoku/>
        <w:topLinePunct w:val="0"/>
        <w:autoSpaceDE/>
        <w:autoSpaceDN/>
        <w:bidi w:val="0"/>
        <w:spacing w:line="360" w:lineRule="auto"/>
        <w:rPr>
          <w:color w:val="auto"/>
          <w:highlight w:val="none"/>
        </w:rPr>
      </w:pPr>
    </w:p>
    <w:p>
      <w:pPr>
        <w:pageBreakBefore w:val="0"/>
        <w:kinsoku/>
        <w:topLinePunct w:val="0"/>
        <w:autoSpaceDE/>
        <w:autoSpaceDN/>
        <w:bidi w:val="0"/>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法定代表人授权书</w:t>
      </w:r>
    </w:p>
    <w:p>
      <w:pPr>
        <w:pStyle w:val="28"/>
        <w:pageBreakBefore w:val="0"/>
        <w:kinsoku/>
        <w:topLinePunct w:val="0"/>
        <w:autoSpaceDE/>
        <w:autoSpaceDN/>
        <w:bidi w:val="0"/>
        <w:spacing w:line="360" w:lineRule="auto"/>
        <w:ind w:firstLine="0" w:firstLineChars="0"/>
        <w:rPr>
          <w:rFonts w:ascii="宋体" w:eastAsia="宋体"/>
          <w:color w:val="auto"/>
          <w:sz w:val="21"/>
          <w:szCs w:val="21"/>
          <w:highlight w:val="none"/>
        </w:rPr>
      </w:pPr>
      <w:r>
        <w:rPr>
          <w:rFonts w:hint="eastAsia" w:ascii="宋体" w:eastAsia="宋体"/>
          <w:color w:val="auto"/>
          <w:sz w:val="21"/>
          <w:szCs w:val="21"/>
          <w:highlight w:val="none"/>
        </w:rPr>
        <w:t>致：三方诚信招标有限公司东莞分公司</w:t>
      </w:r>
    </w:p>
    <w:p>
      <w:pPr>
        <w:pStyle w:val="28"/>
        <w:pageBreakBefore w:val="0"/>
        <w:kinsoku/>
        <w:topLinePunct w:val="0"/>
        <w:autoSpaceDE/>
        <w:autoSpaceDN/>
        <w:bidi w:val="0"/>
        <w:spacing w:line="360" w:lineRule="auto"/>
        <w:ind w:firstLine="433"/>
        <w:rPr>
          <w:rFonts w:ascii="宋体" w:eastAsia="宋体"/>
          <w:color w:val="auto"/>
          <w:sz w:val="21"/>
          <w:szCs w:val="21"/>
          <w:highlight w:val="none"/>
        </w:rPr>
      </w:pPr>
    </w:p>
    <w:p>
      <w:pPr>
        <w:pageBreakBefore w:val="0"/>
        <w:kinsoku/>
        <w:topLinePunct w:val="0"/>
        <w:autoSpaceDE/>
        <w:autoSpaceDN/>
        <w:bidi w:val="0"/>
        <w:spacing w:after="0" w:line="360" w:lineRule="auto"/>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本授权书声明：注册于</w:t>
      </w:r>
      <w:r>
        <w:rPr>
          <w:rFonts w:hint="eastAsia" w:ascii="宋体" w:hAnsi="宋体" w:eastAsia="宋体" w:cs="Times New Roman"/>
          <w:color w:val="auto"/>
          <w:sz w:val="21"/>
          <w:szCs w:val="21"/>
          <w:highlight w:val="none"/>
          <w:u w:val="single"/>
        </w:rPr>
        <w:t>（国家或地区的名称）</w:t>
      </w:r>
      <w:r>
        <w:rPr>
          <w:rFonts w:hint="eastAsia" w:ascii="宋体" w:hAnsi="宋体" w:eastAsia="宋体" w:cs="Times New Roman"/>
          <w:color w:val="auto"/>
          <w:sz w:val="21"/>
          <w:szCs w:val="21"/>
          <w:highlight w:val="none"/>
        </w:rPr>
        <w:t>的</w:t>
      </w:r>
      <w:r>
        <w:rPr>
          <w:rFonts w:hint="eastAsia" w:ascii="宋体" w:hAnsi="宋体" w:eastAsia="宋体" w:cs="Times New Roman"/>
          <w:color w:val="auto"/>
          <w:sz w:val="21"/>
          <w:szCs w:val="21"/>
          <w:highlight w:val="none"/>
          <w:u w:val="single"/>
        </w:rPr>
        <w:t>（单位名称）</w:t>
      </w:r>
      <w:r>
        <w:rPr>
          <w:rFonts w:hint="eastAsia" w:ascii="宋体" w:hAnsi="宋体" w:eastAsia="宋体" w:cs="Times New Roman"/>
          <w:color w:val="auto"/>
          <w:sz w:val="21"/>
          <w:szCs w:val="21"/>
          <w:highlight w:val="none"/>
        </w:rPr>
        <w:t>的在下面签字的</w:t>
      </w:r>
      <w:r>
        <w:rPr>
          <w:rFonts w:hint="eastAsia" w:ascii="宋体" w:hAnsi="宋体" w:eastAsia="宋体" w:cs="Times New Roman"/>
          <w:color w:val="auto"/>
          <w:sz w:val="21"/>
          <w:szCs w:val="21"/>
          <w:highlight w:val="none"/>
          <w:u w:val="single"/>
        </w:rPr>
        <w:t>（法定代表人姓名、职务）</w:t>
      </w:r>
      <w:r>
        <w:rPr>
          <w:rFonts w:hint="eastAsia" w:ascii="宋体" w:hAnsi="宋体" w:eastAsia="宋体" w:cs="Times New Roman"/>
          <w:color w:val="auto"/>
          <w:sz w:val="21"/>
          <w:szCs w:val="21"/>
          <w:highlight w:val="none"/>
        </w:rPr>
        <w:t>代表本单位授权</w:t>
      </w:r>
      <w:r>
        <w:rPr>
          <w:rFonts w:hint="eastAsia" w:ascii="宋体" w:hAnsi="宋体" w:eastAsia="宋体" w:cs="Times New Roman"/>
          <w:color w:val="auto"/>
          <w:sz w:val="21"/>
          <w:szCs w:val="21"/>
          <w:highlight w:val="none"/>
          <w:u w:val="single"/>
        </w:rPr>
        <w:t>（单位名称）</w:t>
      </w:r>
      <w:r>
        <w:rPr>
          <w:rFonts w:hint="eastAsia" w:ascii="宋体" w:hAnsi="宋体" w:eastAsia="宋体" w:cs="Times New Roman"/>
          <w:color w:val="auto"/>
          <w:sz w:val="21"/>
          <w:szCs w:val="21"/>
          <w:highlight w:val="none"/>
        </w:rPr>
        <w:t>的在下面签字的</w:t>
      </w:r>
      <w:r>
        <w:rPr>
          <w:rFonts w:hint="eastAsia" w:ascii="宋体" w:hAnsi="宋体" w:eastAsia="宋体" w:cs="Times New Roman"/>
          <w:color w:val="auto"/>
          <w:sz w:val="21"/>
          <w:szCs w:val="21"/>
          <w:highlight w:val="none"/>
          <w:u w:val="single"/>
        </w:rPr>
        <w:t>（被授权人的姓名、职务）</w:t>
      </w:r>
      <w:r>
        <w:rPr>
          <w:rFonts w:hint="eastAsia" w:ascii="宋体" w:hAnsi="宋体" w:eastAsia="宋体" w:cs="Times New Roman"/>
          <w:color w:val="auto"/>
          <w:sz w:val="21"/>
          <w:szCs w:val="21"/>
          <w:highlight w:val="none"/>
        </w:rPr>
        <w:t>为本单位的合法代理人，就</w:t>
      </w:r>
      <w:r>
        <w:rPr>
          <w:rFonts w:hint="eastAsia" w:ascii="宋体" w:hAnsi="宋体" w:eastAsia="宋体" w:cs="Times New Roman"/>
          <w:color w:val="auto"/>
          <w:sz w:val="21"/>
          <w:szCs w:val="21"/>
          <w:highlight w:val="none"/>
          <w:u w:val="single"/>
        </w:rPr>
        <w:t>（项目名称）</w:t>
      </w:r>
      <w:r>
        <w:rPr>
          <w:rFonts w:hint="eastAsia" w:ascii="宋体" w:hAnsi="宋体" w:eastAsia="宋体" w:cs="Times New Roman"/>
          <w:color w:val="auto"/>
          <w:sz w:val="21"/>
          <w:szCs w:val="21"/>
          <w:highlight w:val="none"/>
        </w:rPr>
        <w:t>投标及参加项目谈判，以本单位名义处理一切与之有关的事务。</w:t>
      </w:r>
    </w:p>
    <w:p>
      <w:pPr>
        <w:pageBreakBefore w:val="0"/>
        <w:kinsoku/>
        <w:topLinePunct w:val="0"/>
        <w:autoSpaceDE/>
        <w:autoSpaceDN/>
        <w:bidi w:val="0"/>
        <w:spacing w:after="0" w:line="360" w:lineRule="auto"/>
        <w:ind w:firstLine="315" w:firstLineChars="15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本授权书于</w:t>
      </w:r>
      <w:r>
        <w:rPr>
          <w:rFonts w:hint="eastAsia" w:ascii="宋体" w:hAnsi="宋体" w:eastAsia="宋体" w:cs="Times New Roman"/>
          <w:color w:val="auto"/>
          <w:sz w:val="21"/>
          <w:szCs w:val="21"/>
          <w:highlight w:val="none"/>
          <w:u w:val="single"/>
        </w:rPr>
        <w:t>　　</w:t>
      </w:r>
      <w:r>
        <w:rPr>
          <w:rFonts w:hint="eastAsia" w:ascii="宋体" w:hAnsi="宋体" w:eastAsia="宋体" w:cs="Times New Roman"/>
          <w:color w:val="auto"/>
          <w:sz w:val="21"/>
          <w:szCs w:val="21"/>
          <w:highlight w:val="none"/>
        </w:rPr>
        <w:t>年</w:t>
      </w:r>
      <w:r>
        <w:rPr>
          <w:rFonts w:hint="eastAsia" w:ascii="宋体" w:hAnsi="宋体" w:eastAsia="宋体" w:cs="Times New Roman"/>
          <w:color w:val="auto"/>
          <w:sz w:val="21"/>
          <w:szCs w:val="21"/>
          <w:highlight w:val="none"/>
          <w:u w:val="single"/>
        </w:rPr>
        <w:t>　　</w:t>
      </w:r>
      <w:r>
        <w:rPr>
          <w:rFonts w:hint="eastAsia" w:ascii="宋体" w:hAnsi="宋体" w:eastAsia="宋体" w:cs="Times New Roman"/>
          <w:color w:val="auto"/>
          <w:sz w:val="21"/>
          <w:szCs w:val="21"/>
          <w:highlight w:val="none"/>
        </w:rPr>
        <w:t>月</w:t>
      </w:r>
      <w:r>
        <w:rPr>
          <w:rFonts w:hint="eastAsia" w:ascii="宋体" w:hAnsi="宋体" w:eastAsia="宋体" w:cs="Times New Roman"/>
          <w:color w:val="auto"/>
          <w:sz w:val="21"/>
          <w:szCs w:val="21"/>
          <w:highlight w:val="none"/>
          <w:u w:val="single"/>
        </w:rPr>
        <w:t>　　</w:t>
      </w:r>
      <w:r>
        <w:rPr>
          <w:rFonts w:hint="eastAsia" w:ascii="宋体" w:hAnsi="宋体" w:eastAsia="宋体" w:cs="Times New Roman"/>
          <w:color w:val="auto"/>
          <w:sz w:val="21"/>
          <w:szCs w:val="21"/>
          <w:highlight w:val="none"/>
        </w:rPr>
        <w:t>日签字生效，特此声明。</w:t>
      </w:r>
    </w:p>
    <w:p>
      <w:pPr>
        <w:pStyle w:val="28"/>
        <w:pageBreakBefore w:val="0"/>
        <w:kinsoku/>
        <w:topLinePunct w:val="0"/>
        <w:autoSpaceDE/>
        <w:autoSpaceDN/>
        <w:bidi w:val="0"/>
        <w:spacing w:line="360" w:lineRule="auto"/>
        <w:ind w:firstLine="3517" w:firstLineChars="1675"/>
        <w:rPr>
          <w:rFonts w:ascii="宋体" w:eastAsia="宋体"/>
          <w:color w:val="auto"/>
          <w:sz w:val="21"/>
          <w:szCs w:val="21"/>
          <w:highlight w:val="none"/>
        </w:rPr>
      </w:pPr>
    </w:p>
    <w:p>
      <w:pPr>
        <w:pStyle w:val="28"/>
        <w:pageBreakBefore w:val="0"/>
        <w:kinsoku/>
        <w:topLinePunct w:val="0"/>
        <w:autoSpaceDE/>
        <w:autoSpaceDN/>
        <w:bidi w:val="0"/>
        <w:spacing w:line="360" w:lineRule="auto"/>
        <w:ind w:firstLine="3517" w:firstLineChars="1675"/>
        <w:rPr>
          <w:rFonts w:ascii="宋体" w:eastAsia="宋体"/>
          <w:color w:val="auto"/>
          <w:sz w:val="21"/>
          <w:szCs w:val="21"/>
          <w:highlight w:val="none"/>
        </w:rPr>
      </w:pPr>
      <w:r>
        <w:rPr>
          <w:rFonts w:hint="eastAsia" w:ascii="宋体" w:eastAsia="宋体"/>
          <w:color w:val="auto"/>
          <w:sz w:val="21"/>
          <w:szCs w:val="21"/>
          <w:highlight w:val="none"/>
        </w:rPr>
        <w:t>投标人名称（加盖公章）：</w:t>
      </w:r>
      <w:r>
        <w:rPr>
          <w:rFonts w:hint="eastAsia" w:ascii="宋体" w:eastAsia="宋体"/>
          <w:color w:val="auto"/>
          <w:sz w:val="21"/>
          <w:szCs w:val="21"/>
          <w:highlight w:val="none"/>
          <w:u w:val="single"/>
        </w:rPr>
        <w:t xml:space="preserve">                 </w:t>
      </w:r>
    </w:p>
    <w:p>
      <w:pPr>
        <w:pStyle w:val="28"/>
        <w:pageBreakBefore w:val="0"/>
        <w:kinsoku/>
        <w:topLinePunct w:val="0"/>
        <w:autoSpaceDE/>
        <w:autoSpaceDN/>
        <w:bidi w:val="0"/>
        <w:spacing w:line="360" w:lineRule="auto"/>
        <w:ind w:firstLine="3517" w:firstLineChars="1675"/>
        <w:rPr>
          <w:rFonts w:ascii="宋体" w:eastAsia="宋体"/>
          <w:color w:val="auto"/>
          <w:sz w:val="21"/>
          <w:szCs w:val="21"/>
          <w:highlight w:val="none"/>
          <w:u w:val="single"/>
        </w:rPr>
      </w:pPr>
      <w:r>
        <w:rPr>
          <w:rFonts w:hint="eastAsia" w:ascii="宋体" w:eastAsia="宋体"/>
          <w:color w:val="auto"/>
          <w:sz w:val="21"/>
          <w:szCs w:val="21"/>
          <w:highlight w:val="none"/>
        </w:rPr>
        <w:t>法定代表人签字（签名或盖私章）：</w:t>
      </w:r>
      <w:r>
        <w:rPr>
          <w:rFonts w:hint="eastAsia" w:ascii="宋体" w:eastAsia="宋体"/>
          <w:color w:val="auto"/>
          <w:sz w:val="21"/>
          <w:szCs w:val="21"/>
          <w:highlight w:val="none"/>
          <w:u w:val="single"/>
        </w:rPr>
        <w:t xml:space="preserve">               </w:t>
      </w:r>
    </w:p>
    <w:p>
      <w:pPr>
        <w:pStyle w:val="28"/>
        <w:pageBreakBefore w:val="0"/>
        <w:kinsoku/>
        <w:topLinePunct w:val="0"/>
        <w:autoSpaceDE/>
        <w:autoSpaceDN/>
        <w:bidi w:val="0"/>
        <w:spacing w:line="360" w:lineRule="auto"/>
        <w:ind w:firstLine="3517" w:firstLineChars="1675"/>
        <w:rPr>
          <w:rFonts w:ascii="宋体" w:eastAsia="宋体"/>
          <w:color w:val="auto"/>
          <w:sz w:val="21"/>
          <w:szCs w:val="21"/>
          <w:highlight w:val="none"/>
        </w:rPr>
      </w:pPr>
      <w:r>
        <w:rPr>
          <w:rFonts w:hint="eastAsia" w:ascii="宋体" w:eastAsia="宋体"/>
          <w:color w:val="auto"/>
          <w:sz w:val="21"/>
          <w:szCs w:val="21"/>
          <w:highlight w:val="none"/>
        </w:rPr>
        <w:t>被授权人签字：</w:t>
      </w:r>
    </w:p>
    <w:p>
      <w:pPr>
        <w:pStyle w:val="28"/>
        <w:pageBreakBefore w:val="0"/>
        <w:kinsoku/>
        <w:topLinePunct w:val="0"/>
        <w:autoSpaceDE/>
        <w:autoSpaceDN/>
        <w:bidi w:val="0"/>
        <w:spacing w:line="360" w:lineRule="auto"/>
        <w:ind w:firstLine="3517" w:firstLineChars="1675"/>
        <w:rPr>
          <w:rFonts w:ascii="宋体" w:eastAsia="宋体"/>
          <w:color w:val="auto"/>
          <w:sz w:val="21"/>
          <w:szCs w:val="21"/>
          <w:highlight w:val="none"/>
          <w:u w:val="single"/>
        </w:rPr>
      </w:pPr>
      <w:r>
        <w:rPr>
          <w:rFonts w:hint="eastAsia" w:ascii="宋体" w:eastAsia="宋体"/>
          <w:color w:val="auto"/>
          <w:sz w:val="21"/>
          <w:szCs w:val="21"/>
          <w:highlight w:val="none"/>
        </w:rPr>
        <w:t>职务：</w:t>
      </w:r>
      <w:r>
        <w:rPr>
          <w:rFonts w:hint="eastAsia" w:ascii="宋体" w:eastAsia="宋体"/>
          <w:color w:val="auto"/>
          <w:sz w:val="21"/>
          <w:szCs w:val="21"/>
          <w:highlight w:val="none"/>
          <w:u w:val="single"/>
        </w:rPr>
        <w:t xml:space="preserve">   </w:t>
      </w:r>
    </w:p>
    <w:p>
      <w:pPr>
        <w:pStyle w:val="28"/>
        <w:pageBreakBefore w:val="0"/>
        <w:kinsoku/>
        <w:topLinePunct w:val="0"/>
        <w:autoSpaceDE/>
        <w:autoSpaceDN/>
        <w:bidi w:val="0"/>
        <w:spacing w:line="360" w:lineRule="auto"/>
        <w:ind w:firstLine="3517" w:firstLineChars="1675"/>
        <w:rPr>
          <w:rFonts w:ascii="宋体" w:eastAsia="宋体"/>
          <w:color w:val="auto"/>
          <w:sz w:val="21"/>
          <w:szCs w:val="21"/>
          <w:highlight w:val="none"/>
        </w:rPr>
      </w:pPr>
      <w:r>
        <w:rPr>
          <w:rFonts w:hint="eastAsia" w:ascii="宋体" w:eastAsia="宋体"/>
          <w:color w:val="auto"/>
          <w:sz w:val="21"/>
          <w:szCs w:val="21"/>
          <w:highlight w:val="none"/>
        </w:rPr>
        <w:t xml:space="preserve">移动电话： </w:t>
      </w:r>
    </w:p>
    <w:p>
      <w:pPr>
        <w:pStyle w:val="28"/>
        <w:pageBreakBefore w:val="0"/>
        <w:kinsoku/>
        <w:topLinePunct w:val="0"/>
        <w:autoSpaceDE/>
        <w:autoSpaceDN/>
        <w:bidi w:val="0"/>
        <w:spacing w:line="360" w:lineRule="auto"/>
        <w:ind w:firstLine="3517" w:firstLineChars="1675"/>
        <w:rPr>
          <w:rFonts w:ascii="宋体" w:eastAsia="宋体"/>
          <w:color w:val="auto"/>
          <w:sz w:val="21"/>
          <w:szCs w:val="21"/>
          <w:highlight w:val="none"/>
        </w:rPr>
      </w:pPr>
      <w:r>
        <w:rPr>
          <w:rFonts w:hint="eastAsia" w:ascii="宋体" w:eastAsia="宋体"/>
          <w:color w:val="auto"/>
          <w:sz w:val="21"/>
          <w:szCs w:val="21"/>
          <w:highlight w:val="none"/>
        </w:rPr>
        <w:t>详细通讯地址：</w:t>
      </w:r>
    </w:p>
    <w:p>
      <w:pPr>
        <w:pStyle w:val="28"/>
        <w:pageBreakBefore w:val="0"/>
        <w:kinsoku/>
        <w:topLinePunct w:val="0"/>
        <w:autoSpaceDE/>
        <w:autoSpaceDN/>
        <w:bidi w:val="0"/>
        <w:spacing w:line="360" w:lineRule="auto"/>
        <w:ind w:firstLine="3517" w:firstLineChars="1675"/>
        <w:rPr>
          <w:rFonts w:ascii="宋体" w:eastAsia="宋体"/>
          <w:color w:val="auto"/>
          <w:sz w:val="21"/>
          <w:szCs w:val="21"/>
          <w:highlight w:val="none"/>
        </w:rPr>
      </w:pPr>
      <w:r>
        <w:rPr>
          <w:rFonts w:hint="eastAsia" w:ascii="宋体" w:eastAsia="宋体"/>
          <w:color w:val="auto"/>
          <w:sz w:val="21"/>
          <w:szCs w:val="21"/>
          <w:highlight w:val="none"/>
        </w:rPr>
        <w:t xml:space="preserve">邮箱：                          </w:t>
      </w:r>
    </w:p>
    <w:p>
      <w:pPr>
        <w:pStyle w:val="28"/>
        <w:pageBreakBefore w:val="0"/>
        <w:kinsoku/>
        <w:topLinePunct w:val="0"/>
        <w:autoSpaceDE/>
        <w:autoSpaceDN/>
        <w:bidi w:val="0"/>
        <w:spacing w:line="360" w:lineRule="auto"/>
        <w:ind w:firstLine="3507" w:firstLineChars="1670"/>
        <w:rPr>
          <w:rFonts w:ascii="宋体" w:eastAsia="宋体"/>
          <w:color w:val="auto"/>
          <w:sz w:val="21"/>
          <w:szCs w:val="21"/>
          <w:highlight w:val="none"/>
        </w:rPr>
      </w:pPr>
      <w:r>
        <w:rPr>
          <w:rFonts w:hint="eastAsia" w:ascii="宋体" w:eastAsia="宋体"/>
          <w:color w:val="auto"/>
          <w:sz w:val="21"/>
          <w:szCs w:val="21"/>
          <w:highlight w:val="none"/>
        </w:rPr>
        <w:t>日     期：</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年</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月</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日</w:t>
      </w:r>
    </w:p>
    <w:p>
      <w:pPr>
        <w:pStyle w:val="28"/>
        <w:pageBreakBefore w:val="0"/>
        <w:kinsoku/>
        <w:topLinePunct w:val="0"/>
        <w:autoSpaceDE/>
        <w:autoSpaceDN/>
        <w:bidi w:val="0"/>
        <w:spacing w:line="360" w:lineRule="auto"/>
        <w:ind w:firstLine="433"/>
        <w:rPr>
          <w:rFonts w:ascii="宋体" w:eastAsia="宋体"/>
          <w:color w:val="auto"/>
          <w:sz w:val="21"/>
          <w:szCs w:val="21"/>
          <w:highlight w:val="none"/>
        </w:rPr>
      </w:pPr>
    </w:p>
    <w:p>
      <w:pPr>
        <w:pageBreakBefore w:val="0"/>
        <w:kinsoku/>
        <w:topLinePunct w:val="0"/>
        <w:autoSpaceDE/>
        <w:autoSpaceDN/>
        <w:bidi w:val="0"/>
        <w:spacing w:line="360" w:lineRule="auto"/>
        <w:ind w:firstLine="420" w:firstLineChars="200"/>
        <w:rPr>
          <w:rFonts w:eastAsia="宋体"/>
          <w:color w:val="auto"/>
          <w:highlight w:val="none"/>
        </w:rPr>
      </w:pPr>
      <w:r>
        <w:rPr>
          <w:rFonts w:hint="eastAsia" w:ascii="宋体" w:hAnsi="宋体" w:eastAsia="宋体"/>
          <w:color w:val="auto"/>
          <w:sz w:val="21"/>
          <w:szCs w:val="21"/>
          <w:highlight w:val="none"/>
        </w:rPr>
        <w:t>须附：被授权人身份证复印件。</w:t>
      </w:r>
    </w:p>
    <w:tbl>
      <w:tblPr>
        <w:tblStyle w:val="17"/>
        <w:tblW w:w="8464" w:type="dxa"/>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232"/>
        <w:gridCol w:w="423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661" w:hRule="atLeast"/>
          <w:jc w:val="center"/>
        </w:trPr>
        <w:tc>
          <w:tcPr>
            <w:tcW w:w="4232" w:type="dxa"/>
            <w:vAlign w:val="center"/>
          </w:tcPr>
          <w:p>
            <w:pPr>
              <w:pStyle w:val="28"/>
              <w:pageBreakBefore w:val="0"/>
              <w:kinsoku/>
              <w:topLinePunct w:val="0"/>
              <w:autoSpaceDE/>
              <w:autoSpaceDN/>
              <w:bidi w:val="0"/>
              <w:spacing w:line="360" w:lineRule="auto"/>
              <w:ind w:firstLine="0" w:firstLineChars="0"/>
              <w:jc w:val="center"/>
              <w:rPr>
                <w:rFonts w:ascii="宋体" w:eastAsia="宋体"/>
                <w:color w:val="auto"/>
                <w:sz w:val="22"/>
                <w:highlight w:val="none"/>
              </w:rPr>
            </w:pPr>
            <w:r>
              <w:rPr>
                <w:rFonts w:hint="eastAsia" w:ascii="宋体" w:eastAsia="宋体"/>
                <w:color w:val="auto"/>
                <w:sz w:val="22"/>
                <w:highlight w:val="none"/>
              </w:rPr>
              <w:t>正面</w:t>
            </w:r>
          </w:p>
        </w:tc>
        <w:tc>
          <w:tcPr>
            <w:tcW w:w="4232" w:type="dxa"/>
            <w:vAlign w:val="center"/>
          </w:tcPr>
          <w:p>
            <w:pPr>
              <w:pStyle w:val="28"/>
              <w:pageBreakBefore w:val="0"/>
              <w:kinsoku/>
              <w:topLinePunct w:val="0"/>
              <w:autoSpaceDE/>
              <w:autoSpaceDN/>
              <w:bidi w:val="0"/>
              <w:spacing w:line="360" w:lineRule="auto"/>
              <w:ind w:firstLine="0" w:firstLineChars="0"/>
              <w:jc w:val="center"/>
              <w:rPr>
                <w:rFonts w:ascii="宋体" w:eastAsia="宋体"/>
                <w:color w:val="auto"/>
                <w:sz w:val="22"/>
                <w:highlight w:val="none"/>
              </w:rPr>
            </w:pPr>
            <w:r>
              <w:rPr>
                <w:rFonts w:hint="eastAsia" w:ascii="宋体" w:eastAsia="宋体"/>
                <w:color w:val="auto"/>
                <w:sz w:val="22"/>
                <w:highlight w:val="none"/>
              </w:rPr>
              <w:t>背面</w:t>
            </w:r>
          </w:p>
        </w:tc>
      </w:tr>
    </w:tbl>
    <w:p>
      <w:pPr>
        <w:pageBreakBefore w:val="0"/>
        <w:kinsoku/>
        <w:topLinePunct w:val="0"/>
        <w:autoSpaceDE/>
        <w:autoSpaceDN/>
        <w:bidi w:val="0"/>
        <w:adjustRightInd/>
        <w:snapToGrid/>
        <w:spacing w:line="360" w:lineRule="auto"/>
        <w:rPr>
          <w:color w:val="auto"/>
          <w:highlight w:val="none"/>
        </w:rPr>
      </w:pPr>
      <w:bookmarkStart w:id="95" w:name="_Toc22486"/>
      <w:r>
        <w:rPr>
          <w:rFonts w:hint="eastAsia" w:ascii="宋体" w:hAnsi="宋体" w:eastAsia="宋体"/>
          <w:color w:val="auto"/>
          <w:sz w:val="21"/>
          <w:szCs w:val="21"/>
          <w:highlight w:val="none"/>
        </w:rPr>
        <w:br w:type="page"/>
      </w:r>
    </w:p>
    <w:p>
      <w:pPr>
        <w:pStyle w:val="5"/>
        <w:pageBreakBefore w:val="0"/>
        <w:widowControl w:val="0"/>
        <w:kinsoku/>
        <w:overflowPunct w:val="0"/>
        <w:topLinePunct w:val="0"/>
        <w:autoSpaceDE/>
        <w:autoSpaceDN/>
        <w:bidi w:val="0"/>
        <w:spacing w:before="0" w:after="0" w:line="360" w:lineRule="auto"/>
        <w:rPr>
          <w:rFonts w:ascii="宋体" w:hAnsi="宋体" w:eastAsia="宋体"/>
          <w:color w:val="auto"/>
          <w:sz w:val="21"/>
          <w:szCs w:val="21"/>
          <w:highlight w:val="none"/>
        </w:rPr>
      </w:pPr>
      <w:bookmarkStart w:id="96" w:name="_Toc24266"/>
      <w:r>
        <w:rPr>
          <w:rFonts w:hint="eastAsia" w:ascii="宋体" w:hAnsi="宋体" w:eastAsia="宋体"/>
          <w:color w:val="auto"/>
          <w:sz w:val="21"/>
          <w:szCs w:val="21"/>
          <w:highlight w:val="none"/>
        </w:rPr>
        <w:t>附件7.资格申明</w:t>
      </w:r>
      <w:bookmarkEnd w:id="96"/>
    </w:p>
    <w:p>
      <w:pPr>
        <w:pageBreakBefore w:val="0"/>
        <w:kinsoku/>
        <w:topLinePunct w:val="0"/>
        <w:autoSpaceDE/>
        <w:autoSpaceDN/>
        <w:bidi w:val="0"/>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资格申明</w:t>
      </w:r>
    </w:p>
    <w:p>
      <w:pPr>
        <w:pStyle w:val="28"/>
        <w:pageBreakBefore w:val="0"/>
        <w:kinsoku/>
        <w:topLinePunct w:val="0"/>
        <w:autoSpaceDE/>
        <w:autoSpaceDN/>
        <w:bidi w:val="0"/>
        <w:spacing w:line="360" w:lineRule="auto"/>
        <w:ind w:firstLine="0" w:firstLineChars="0"/>
        <w:rPr>
          <w:rFonts w:ascii="宋体" w:eastAsia="宋体"/>
          <w:color w:val="auto"/>
          <w:sz w:val="21"/>
          <w:szCs w:val="21"/>
          <w:highlight w:val="none"/>
        </w:rPr>
      </w:pPr>
      <w:r>
        <w:rPr>
          <w:rFonts w:hint="eastAsia" w:ascii="宋体" w:eastAsia="宋体"/>
          <w:color w:val="auto"/>
          <w:sz w:val="21"/>
          <w:szCs w:val="21"/>
          <w:highlight w:val="none"/>
        </w:rPr>
        <w:t>三方诚信招标有限公司东莞分公司：</w:t>
      </w: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我方</w:t>
      </w:r>
      <w:r>
        <w:rPr>
          <w:rFonts w:ascii="宋体" w:hAnsi="宋体" w:eastAsia="宋体"/>
          <w:color w:val="auto"/>
          <w:sz w:val="21"/>
          <w:szCs w:val="21"/>
          <w:highlight w:val="none"/>
        </w:rPr>
        <w:t>愿响应</w:t>
      </w:r>
      <w:r>
        <w:rPr>
          <w:rFonts w:hint="eastAsia" w:ascii="宋体" w:hAnsi="宋体" w:eastAsia="宋体"/>
          <w:color w:val="auto"/>
          <w:sz w:val="21"/>
          <w:szCs w:val="21"/>
          <w:highlight w:val="none"/>
        </w:rPr>
        <w:t>贵</w:t>
      </w:r>
      <w:r>
        <w:rPr>
          <w:rFonts w:ascii="宋体" w:hAnsi="宋体" w:eastAsia="宋体"/>
          <w:color w:val="auto"/>
          <w:sz w:val="21"/>
          <w:szCs w:val="21"/>
          <w:highlight w:val="none"/>
        </w:rPr>
        <w:t>方</w:t>
      </w:r>
      <w:r>
        <w:rPr>
          <w:rFonts w:hint="eastAsia" w:ascii="宋体" w:hAnsi="宋体" w:eastAsia="宋体"/>
          <w:color w:val="auto"/>
          <w:sz w:val="21"/>
          <w:szCs w:val="21"/>
          <w:highlight w:val="none"/>
        </w:rPr>
        <w:t>关于（项目名称）</w:t>
      </w:r>
      <w:r>
        <w:rPr>
          <w:rFonts w:ascii="宋体" w:hAnsi="宋体" w:eastAsia="宋体"/>
          <w:color w:val="auto"/>
          <w:sz w:val="21"/>
          <w:szCs w:val="21"/>
          <w:highlight w:val="none"/>
        </w:rPr>
        <w:t>（</w:t>
      </w:r>
      <w:r>
        <w:rPr>
          <w:rFonts w:hint="eastAsia" w:ascii="宋体" w:hAnsi="宋体" w:eastAsia="宋体"/>
          <w:color w:val="auto"/>
          <w:sz w:val="21"/>
          <w:szCs w:val="21"/>
          <w:highlight w:val="none"/>
        </w:rPr>
        <w:t>采购项目编号</w:t>
      </w:r>
      <w:r>
        <w:rPr>
          <w:rFonts w:ascii="宋体" w:hAnsi="宋体" w:eastAsia="宋体"/>
          <w:color w:val="auto"/>
          <w:sz w:val="21"/>
          <w:szCs w:val="21"/>
          <w:highlight w:val="none"/>
        </w:rPr>
        <w:t>）</w:t>
      </w:r>
      <w:r>
        <w:rPr>
          <w:rFonts w:hint="eastAsia" w:ascii="宋体" w:hAnsi="宋体" w:eastAsia="宋体"/>
          <w:color w:val="auto"/>
          <w:sz w:val="21"/>
          <w:szCs w:val="21"/>
          <w:highlight w:val="none"/>
        </w:rPr>
        <w:t>的</w:t>
      </w:r>
      <w:r>
        <w:rPr>
          <w:rFonts w:ascii="宋体" w:hAnsi="宋体" w:eastAsia="宋体"/>
          <w:color w:val="auto"/>
          <w:sz w:val="21"/>
          <w:szCs w:val="21"/>
          <w:highlight w:val="none"/>
        </w:rPr>
        <w:t>投标邀请，参与投标，提供用户需求书中规定的</w:t>
      </w:r>
      <w:r>
        <w:rPr>
          <w:rFonts w:hint="eastAsia" w:ascii="宋体" w:hAnsi="宋体" w:eastAsia="宋体"/>
          <w:color w:val="auto"/>
          <w:sz w:val="21"/>
          <w:szCs w:val="21"/>
          <w:highlight w:val="none"/>
        </w:rPr>
        <w:t>货物及相关服务</w:t>
      </w:r>
      <w:r>
        <w:rPr>
          <w:rFonts w:ascii="宋体" w:hAnsi="宋体" w:eastAsia="宋体"/>
          <w:color w:val="auto"/>
          <w:sz w:val="21"/>
          <w:szCs w:val="21"/>
          <w:highlight w:val="none"/>
        </w:rPr>
        <w:t>，并按招标文件要求提交所附资格文件且声明和保证如下：</w:t>
      </w: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一、我方具备《中华人民共和国政府采购法》第二十二条资格条件，已清楚招标文件所有要求及有关规定；并承诺参加本次政府采购活动中，如有违法、违规、弄虚作假行为，所造成的损失、不良后果及法律责任，一律由我方承担；</w:t>
      </w: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二、</w:t>
      </w:r>
      <w:r>
        <w:rPr>
          <w:rFonts w:ascii="宋体" w:hAnsi="宋体" w:eastAsia="宋体"/>
          <w:color w:val="auto"/>
          <w:sz w:val="21"/>
          <w:szCs w:val="21"/>
          <w:highlight w:val="none"/>
        </w:rPr>
        <w:t>我方依法注册，在法律上、财务上和运作上完全独立于（采购人名称）（采购人）及</w:t>
      </w:r>
      <w:r>
        <w:rPr>
          <w:rFonts w:hint="eastAsia" w:ascii="宋体" w:hAnsi="宋体" w:eastAsia="宋体"/>
          <w:color w:val="auto"/>
          <w:sz w:val="21"/>
          <w:szCs w:val="21"/>
          <w:highlight w:val="none"/>
        </w:rPr>
        <w:t>三方诚信招标有限公司东莞分公司</w:t>
      </w:r>
      <w:r>
        <w:rPr>
          <w:rFonts w:ascii="宋体" w:hAnsi="宋体" w:eastAsia="宋体"/>
          <w:color w:val="auto"/>
          <w:sz w:val="21"/>
          <w:szCs w:val="21"/>
          <w:highlight w:val="none"/>
        </w:rPr>
        <w:t>（采购代理机构）</w:t>
      </w:r>
      <w:r>
        <w:rPr>
          <w:rFonts w:hint="eastAsia" w:ascii="宋体" w:hAnsi="宋体" w:eastAsia="宋体"/>
          <w:color w:val="auto"/>
          <w:sz w:val="21"/>
          <w:szCs w:val="21"/>
          <w:highlight w:val="none"/>
        </w:rPr>
        <w:t>。</w:t>
      </w:r>
    </w:p>
    <w:p>
      <w:pPr>
        <w:pStyle w:val="28"/>
        <w:pageBreakBefore w:val="0"/>
        <w:kinsoku/>
        <w:topLinePunct w:val="0"/>
        <w:autoSpaceDE/>
        <w:autoSpaceDN/>
        <w:bidi w:val="0"/>
        <w:spacing w:line="360" w:lineRule="auto"/>
        <w:ind w:firstLine="3517" w:firstLineChars="1675"/>
        <w:rPr>
          <w:rFonts w:ascii="宋体" w:eastAsia="宋体"/>
          <w:color w:val="auto"/>
          <w:sz w:val="21"/>
          <w:szCs w:val="21"/>
          <w:highlight w:val="none"/>
        </w:rPr>
      </w:pPr>
    </w:p>
    <w:p>
      <w:pPr>
        <w:pStyle w:val="28"/>
        <w:pageBreakBefore w:val="0"/>
        <w:kinsoku/>
        <w:topLinePunct w:val="0"/>
        <w:autoSpaceDE/>
        <w:autoSpaceDN/>
        <w:bidi w:val="0"/>
        <w:spacing w:line="360" w:lineRule="auto"/>
        <w:ind w:firstLine="3517" w:firstLineChars="1675"/>
        <w:rPr>
          <w:rFonts w:ascii="宋体" w:eastAsia="宋体"/>
          <w:color w:val="auto"/>
          <w:sz w:val="21"/>
          <w:szCs w:val="21"/>
          <w:highlight w:val="none"/>
        </w:rPr>
      </w:pPr>
    </w:p>
    <w:p>
      <w:pPr>
        <w:pStyle w:val="28"/>
        <w:pageBreakBefore w:val="0"/>
        <w:kinsoku/>
        <w:topLinePunct w:val="0"/>
        <w:autoSpaceDE/>
        <w:autoSpaceDN/>
        <w:bidi w:val="0"/>
        <w:spacing w:line="360" w:lineRule="auto"/>
        <w:ind w:firstLine="433"/>
        <w:rPr>
          <w:rFonts w:ascii="宋体" w:eastAsia="宋体"/>
          <w:color w:val="auto"/>
          <w:sz w:val="21"/>
          <w:szCs w:val="21"/>
          <w:highlight w:val="none"/>
        </w:rPr>
      </w:pPr>
      <w:r>
        <w:rPr>
          <w:rFonts w:hint="eastAsia" w:ascii="宋体" w:eastAsia="宋体"/>
          <w:color w:val="auto"/>
          <w:sz w:val="21"/>
          <w:szCs w:val="21"/>
          <w:highlight w:val="none"/>
        </w:rPr>
        <w:t>投标人名称（加盖公章）：</w:t>
      </w:r>
      <w:r>
        <w:rPr>
          <w:rFonts w:hint="eastAsia" w:ascii="宋体" w:eastAsia="宋体"/>
          <w:color w:val="auto"/>
          <w:sz w:val="21"/>
          <w:szCs w:val="21"/>
          <w:highlight w:val="none"/>
          <w:u w:val="single"/>
        </w:rPr>
        <w:t xml:space="preserve">                 </w:t>
      </w:r>
    </w:p>
    <w:p>
      <w:pPr>
        <w:pStyle w:val="28"/>
        <w:pageBreakBefore w:val="0"/>
        <w:kinsoku/>
        <w:topLinePunct w:val="0"/>
        <w:autoSpaceDE/>
        <w:autoSpaceDN/>
        <w:bidi w:val="0"/>
        <w:spacing w:line="360" w:lineRule="auto"/>
        <w:ind w:firstLine="433"/>
        <w:rPr>
          <w:rFonts w:ascii="宋体" w:eastAsia="宋体"/>
          <w:color w:val="auto"/>
          <w:sz w:val="21"/>
          <w:szCs w:val="21"/>
          <w:highlight w:val="none"/>
        </w:rPr>
      </w:pPr>
      <w:r>
        <w:rPr>
          <w:rFonts w:hint="eastAsia" w:ascii="宋体" w:eastAsia="宋体"/>
          <w:color w:val="auto"/>
          <w:sz w:val="21"/>
          <w:szCs w:val="21"/>
          <w:highlight w:val="none"/>
        </w:rPr>
        <w:t>法定代表人签字（签名或盖私章）：</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 xml:space="preserve">                        </w:t>
      </w:r>
    </w:p>
    <w:p>
      <w:pPr>
        <w:pStyle w:val="28"/>
        <w:pageBreakBefore w:val="0"/>
        <w:kinsoku/>
        <w:topLinePunct w:val="0"/>
        <w:autoSpaceDE/>
        <w:autoSpaceDN/>
        <w:bidi w:val="0"/>
        <w:spacing w:line="360" w:lineRule="auto"/>
        <w:ind w:firstLine="433"/>
        <w:rPr>
          <w:rFonts w:ascii="宋体" w:eastAsia="宋体"/>
          <w:color w:val="auto"/>
          <w:sz w:val="21"/>
          <w:szCs w:val="21"/>
          <w:highlight w:val="none"/>
        </w:rPr>
      </w:pPr>
      <w:r>
        <w:rPr>
          <w:rFonts w:hint="eastAsia" w:ascii="宋体" w:eastAsia="宋体"/>
          <w:color w:val="auto"/>
          <w:sz w:val="21"/>
          <w:szCs w:val="21"/>
          <w:highlight w:val="none"/>
        </w:rPr>
        <w:t>日     期：</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年</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月</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日</w:t>
      </w:r>
    </w:p>
    <w:p>
      <w:pPr>
        <w:pStyle w:val="28"/>
        <w:pageBreakBefore w:val="0"/>
        <w:kinsoku/>
        <w:topLinePunct w:val="0"/>
        <w:autoSpaceDE/>
        <w:autoSpaceDN/>
        <w:bidi w:val="0"/>
        <w:spacing w:line="360" w:lineRule="auto"/>
        <w:ind w:firstLine="433"/>
        <w:rPr>
          <w:rFonts w:ascii="宋体" w:eastAsia="宋体"/>
          <w:color w:val="auto"/>
          <w:sz w:val="21"/>
          <w:szCs w:val="21"/>
          <w:highlight w:val="none"/>
        </w:rPr>
      </w:pPr>
      <w:r>
        <w:rPr>
          <w:rFonts w:hint="eastAsia" w:ascii="宋体" w:eastAsia="宋体"/>
          <w:color w:val="auto"/>
          <w:sz w:val="21"/>
          <w:szCs w:val="21"/>
          <w:highlight w:val="none"/>
        </w:rPr>
        <w:br w:type="page"/>
      </w:r>
    </w:p>
    <w:p>
      <w:pPr>
        <w:pStyle w:val="5"/>
        <w:pageBreakBefore w:val="0"/>
        <w:widowControl w:val="0"/>
        <w:kinsoku/>
        <w:overflowPunct w:val="0"/>
        <w:topLinePunct w:val="0"/>
        <w:autoSpaceDE/>
        <w:autoSpaceDN/>
        <w:bidi w:val="0"/>
        <w:spacing w:before="0" w:after="0" w:line="360" w:lineRule="auto"/>
        <w:rPr>
          <w:rFonts w:ascii="宋体" w:hAnsi="宋体" w:eastAsia="宋体"/>
          <w:color w:val="auto"/>
          <w:sz w:val="21"/>
          <w:szCs w:val="21"/>
          <w:highlight w:val="none"/>
        </w:rPr>
      </w:pPr>
      <w:bookmarkStart w:id="97" w:name="_Toc22915"/>
      <w:r>
        <w:rPr>
          <w:rFonts w:hint="eastAsia" w:ascii="宋体" w:hAnsi="宋体" w:eastAsia="宋体"/>
          <w:color w:val="auto"/>
          <w:sz w:val="21"/>
          <w:szCs w:val="21"/>
          <w:highlight w:val="none"/>
        </w:rPr>
        <w:t>附件8.营业执照</w:t>
      </w:r>
      <w:bookmarkEnd w:id="97"/>
    </w:p>
    <w:p>
      <w:pPr>
        <w:pageBreakBefore w:val="0"/>
        <w:kinsoku/>
        <w:topLinePunct w:val="0"/>
        <w:autoSpaceDE/>
        <w:autoSpaceDN/>
        <w:bidi w:val="0"/>
        <w:spacing w:line="360" w:lineRule="auto"/>
        <w:jc w:val="center"/>
        <w:rPr>
          <w:rFonts w:ascii="黑体" w:eastAsia="黑体"/>
          <w:color w:val="auto"/>
          <w:sz w:val="28"/>
          <w:szCs w:val="28"/>
          <w:highlight w:val="none"/>
        </w:rPr>
      </w:pPr>
      <w:bookmarkStart w:id="98" w:name="_Toc5919"/>
      <w:bookmarkStart w:id="99" w:name="_Toc17470"/>
      <w:bookmarkStart w:id="100" w:name="_Toc1511"/>
      <w:bookmarkStart w:id="101" w:name="_Toc4926"/>
      <w:bookmarkStart w:id="102" w:name="_Toc24210"/>
      <w:r>
        <w:rPr>
          <w:rFonts w:hint="eastAsia" w:ascii="黑体" w:eastAsia="黑体"/>
          <w:color w:val="auto"/>
          <w:sz w:val="28"/>
          <w:szCs w:val="28"/>
          <w:highlight w:val="none"/>
        </w:rPr>
        <w:t>营业执照</w:t>
      </w:r>
      <w:bookmarkEnd w:id="98"/>
      <w:bookmarkEnd w:id="99"/>
      <w:bookmarkEnd w:id="100"/>
      <w:bookmarkEnd w:id="101"/>
      <w:bookmarkEnd w:id="102"/>
    </w:p>
    <w:p>
      <w:pPr>
        <w:pageBreakBefore w:val="0"/>
        <w:kinsoku/>
        <w:topLinePunct w:val="0"/>
        <w:autoSpaceDE/>
        <w:autoSpaceDN/>
        <w:bidi w:val="0"/>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br w:type="page"/>
      </w:r>
    </w:p>
    <w:p>
      <w:pPr>
        <w:pStyle w:val="5"/>
        <w:pageBreakBefore w:val="0"/>
        <w:widowControl w:val="0"/>
        <w:kinsoku/>
        <w:overflowPunct w:val="0"/>
        <w:topLinePunct w:val="0"/>
        <w:autoSpaceDE/>
        <w:autoSpaceDN/>
        <w:bidi w:val="0"/>
        <w:spacing w:before="0" w:after="0" w:line="360" w:lineRule="auto"/>
        <w:rPr>
          <w:rFonts w:ascii="宋体" w:hAnsi="宋体" w:eastAsia="宋体"/>
          <w:color w:val="auto"/>
          <w:sz w:val="21"/>
          <w:szCs w:val="21"/>
          <w:highlight w:val="none"/>
        </w:rPr>
      </w:pPr>
      <w:bookmarkStart w:id="103" w:name="_Toc16457"/>
      <w:r>
        <w:rPr>
          <w:rFonts w:hint="eastAsia" w:ascii="宋体" w:hAnsi="宋体" w:eastAsia="宋体"/>
          <w:color w:val="auto"/>
          <w:sz w:val="21"/>
          <w:szCs w:val="21"/>
          <w:highlight w:val="none"/>
        </w:rPr>
        <w:t>附件9.相关资质证明文件</w:t>
      </w:r>
      <w:bookmarkEnd w:id="103"/>
    </w:p>
    <w:p>
      <w:pPr>
        <w:pageBreakBefore w:val="0"/>
        <w:kinsoku/>
        <w:topLinePunct w:val="0"/>
        <w:autoSpaceDE/>
        <w:autoSpaceDN/>
        <w:bidi w:val="0"/>
        <w:spacing w:line="360" w:lineRule="auto"/>
        <w:rPr>
          <w:color w:val="auto"/>
          <w:highlight w:val="none"/>
        </w:rPr>
      </w:pPr>
    </w:p>
    <w:p>
      <w:pPr>
        <w:pageBreakBefore w:val="0"/>
        <w:kinsoku/>
        <w:topLinePunct w:val="0"/>
        <w:autoSpaceDE/>
        <w:autoSpaceDN/>
        <w:bidi w:val="0"/>
        <w:spacing w:line="360" w:lineRule="auto"/>
        <w:jc w:val="center"/>
        <w:rPr>
          <w:rFonts w:ascii="黑体" w:eastAsia="黑体"/>
          <w:color w:val="auto"/>
          <w:sz w:val="28"/>
          <w:szCs w:val="28"/>
          <w:highlight w:val="none"/>
        </w:rPr>
      </w:pPr>
      <w:bookmarkStart w:id="104" w:name="_Toc16233"/>
      <w:bookmarkStart w:id="105" w:name="_Toc30307"/>
      <w:bookmarkStart w:id="106" w:name="_Toc16698"/>
      <w:bookmarkStart w:id="107" w:name="_Toc13458"/>
      <w:bookmarkStart w:id="108" w:name="_Toc9592"/>
      <w:r>
        <w:rPr>
          <w:rFonts w:hint="eastAsia" w:ascii="黑体" w:eastAsia="黑体"/>
          <w:color w:val="auto"/>
          <w:sz w:val="28"/>
          <w:szCs w:val="28"/>
          <w:highlight w:val="none"/>
        </w:rPr>
        <w:t>相关资质证明文件</w:t>
      </w:r>
      <w:bookmarkEnd w:id="95"/>
      <w:bookmarkEnd w:id="104"/>
      <w:bookmarkEnd w:id="105"/>
      <w:bookmarkEnd w:id="106"/>
      <w:bookmarkEnd w:id="107"/>
      <w:bookmarkEnd w:id="108"/>
    </w:p>
    <w:p>
      <w:pPr>
        <w:pageBreakBefore w:val="0"/>
        <w:kinsoku/>
        <w:topLinePunct w:val="0"/>
        <w:autoSpaceDE/>
        <w:autoSpaceDN/>
        <w:bidi w:val="0"/>
        <w:spacing w:line="360" w:lineRule="auto"/>
        <w:jc w:val="both"/>
        <w:rPr>
          <w:color w:val="auto"/>
          <w:highlight w:val="none"/>
        </w:rPr>
      </w:pPr>
      <w:r>
        <w:rPr>
          <w:rFonts w:hint="eastAsia"/>
          <w:color w:val="auto"/>
          <w:highlight w:val="none"/>
        </w:rPr>
        <w:br w:type="page"/>
      </w:r>
    </w:p>
    <w:p>
      <w:pPr>
        <w:pStyle w:val="5"/>
        <w:pageBreakBefore w:val="0"/>
        <w:widowControl w:val="0"/>
        <w:kinsoku/>
        <w:overflowPunct w:val="0"/>
        <w:topLinePunct w:val="0"/>
        <w:autoSpaceDE/>
        <w:autoSpaceDN/>
        <w:bidi w:val="0"/>
        <w:spacing w:before="0" w:after="0" w:line="360" w:lineRule="auto"/>
        <w:rPr>
          <w:rFonts w:ascii="宋体" w:hAnsi="宋体" w:eastAsia="宋体"/>
          <w:color w:val="auto"/>
          <w:sz w:val="21"/>
          <w:szCs w:val="21"/>
          <w:highlight w:val="none"/>
        </w:rPr>
      </w:pPr>
      <w:bookmarkStart w:id="109" w:name="_Toc29591"/>
      <w:r>
        <w:rPr>
          <w:rFonts w:hint="eastAsia" w:ascii="宋体" w:hAnsi="宋体" w:eastAsia="宋体"/>
          <w:color w:val="auto"/>
          <w:sz w:val="21"/>
          <w:szCs w:val="21"/>
          <w:highlight w:val="none"/>
        </w:rPr>
        <w:t>附件10. 商务条款偏离表格式</w:t>
      </w:r>
      <w:bookmarkEnd w:id="109"/>
    </w:p>
    <w:p>
      <w:pPr>
        <w:pageBreakBefore w:val="0"/>
        <w:kinsoku/>
        <w:topLinePunct w:val="0"/>
        <w:autoSpaceDE/>
        <w:autoSpaceDN/>
        <w:bidi w:val="0"/>
        <w:spacing w:line="360" w:lineRule="auto"/>
        <w:jc w:val="center"/>
        <w:rPr>
          <w:rFonts w:ascii="黑体" w:eastAsia="黑体"/>
          <w:color w:val="auto"/>
          <w:sz w:val="28"/>
          <w:szCs w:val="28"/>
          <w:highlight w:val="none"/>
        </w:rPr>
      </w:pPr>
    </w:p>
    <w:p>
      <w:pPr>
        <w:pageBreakBefore w:val="0"/>
        <w:kinsoku/>
        <w:topLinePunct w:val="0"/>
        <w:autoSpaceDE/>
        <w:autoSpaceDN/>
        <w:bidi w:val="0"/>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商务条款偏离表</w:t>
      </w:r>
    </w:p>
    <w:tbl>
      <w:tblPr>
        <w:tblStyle w:val="17"/>
        <w:tblW w:w="8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20"/>
        <w:gridCol w:w="1360"/>
        <w:gridCol w:w="1587"/>
        <w:gridCol w:w="1133"/>
        <w:gridCol w:w="1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008" w:type="dxa"/>
            <w:vAlign w:val="center"/>
          </w:tcPr>
          <w:p>
            <w:pPr>
              <w:pageBreakBefore w:val="0"/>
              <w:kinsoku/>
              <w:topLinePunct w:val="0"/>
              <w:autoSpaceDE/>
              <w:autoSpaceDN/>
              <w:bidi w:val="0"/>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序号</w:t>
            </w:r>
          </w:p>
        </w:tc>
        <w:tc>
          <w:tcPr>
            <w:tcW w:w="1620" w:type="dxa"/>
            <w:vAlign w:val="center"/>
          </w:tcPr>
          <w:p>
            <w:pPr>
              <w:pageBreakBefore w:val="0"/>
              <w:kinsoku/>
              <w:topLinePunct w:val="0"/>
              <w:autoSpaceDE/>
              <w:autoSpaceDN/>
              <w:bidi w:val="0"/>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商务条款</w:t>
            </w:r>
            <w:r>
              <w:rPr>
                <w:rFonts w:hint="eastAsia" w:ascii="宋体" w:hAnsi="宋体" w:eastAsia="宋体"/>
                <w:color w:val="auto"/>
                <w:sz w:val="21"/>
                <w:szCs w:val="21"/>
                <w:highlight w:val="none"/>
              </w:rPr>
              <w:t>名称</w:t>
            </w:r>
          </w:p>
        </w:tc>
        <w:tc>
          <w:tcPr>
            <w:tcW w:w="1360" w:type="dxa"/>
            <w:vAlign w:val="center"/>
          </w:tcPr>
          <w:p>
            <w:pPr>
              <w:pageBreakBefore w:val="0"/>
              <w:kinsoku/>
              <w:topLinePunct w:val="0"/>
              <w:autoSpaceDE/>
              <w:autoSpaceDN/>
              <w:bidi w:val="0"/>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招标要求</w:t>
            </w:r>
          </w:p>
        </w:tc>
        <w:tc>
          <w:tcPr>
            <w:tcW w:w="1587" w:type="dxa"/>
            <w:vAlign w:val="center"/>
          </w:tcPr>
          <w:p>
            <w:pPr>
              <w:pageBreakBefore w:val="0"/>
              <w:kinsoku/>
              <w:topLinePunct w:val="0"/>
              <w:autoSpaceDE/>
              <w:autoSpaceDN/>
              <w:bidi w:val="0"/>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投标实际响应</w:t>
            </w:r>
          </w:p>
        </w:tc>
        <w:tc>
          <w:tcPr>
            <w:tcW w:w="1133" w:type="dxa"/>
            <w:vAlign w:val="center"/>
          </w:tcPr>
          <w:p>
            <w:pPr>
              <w:pageBreakBefore w:val="0"/>
              <w:kinsoku/>
              <w:topLinePunct w:val="0"/>
              <w:autoSpaceDE/>
              <w:autoSpaceDN/>
              <w:bidi w:val="0"/>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是否偏离</w:t>
            </w:r>
          </w:p>
        </w:tc>
        <w:tc>
          <w:tcPr>
            <w:tcW w:w="1730" w:type="dxa"/>
            <w:vAlign w:val="center"/>
          </w:tcPr>
          <w:p>
            <w:pPr>
              <w:pageBreakBefore w:val="0"/>
              <w:kinsoku/>
              <w:topLinePunct w:val="0"/>
              <w:autoSpaceDE/>
              <w:autoSpaceDN/>
              <w:bidi w:val="0"/>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36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87"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13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73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36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87"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13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73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36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87"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13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73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36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87"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13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73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36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87"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13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73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36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87"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13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73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36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87"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13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73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36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87"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13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73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36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87"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13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73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36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87"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13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730"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bl>
    <w:p>
      <w:pPr>
        <w:pageBreakBefore w:val="0"/>
        <w:kinsoku/>
        <w:topLinePunct w:val="0"/>
        <w:autoSpaceDE/>
        <w:autoSpaceDN/>
        <w:bidi w:val="0"/>
        <w:spacing w:line="360" w:lineRule="auto"/>
        <w:rPr>
          <w:rFonts w:ascii="宋体" w:hAnsi="宋体" w:eastAsia="宋体"/>
          <w:color w:val="auto"/>
          <w:sz w:val="21"/>
          <w:szCs w:val="21"/>
          <w:highlight w:val="none"/>
        </w:rPr>
      </w:pPr>
    </w:p>
    <w:p>
      <w:pPr>
        <w:pageBreakBefore w:val="0"/>
        <w:kinsoku/>
        <w:topLinePunct w:val="0"/>
        <w:autoSpaceDE/>
        <w:autoSpaceDN/>
        <w:bidi w:val="0"/>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投标人代表签字：</w:t>
      </w:r>
    </w:p>
    <w:p>
      <w:pPr>
        <w:pageBreakBefore w:val="0"/>
        <w:kinsoku/>
        <w:topLinePunct w:val="0"/>
        <w:autoSpaceDE/>
        <w:autoSpaceDN/>
        <w:bidi w:val="0"/>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投标人盖章：</w:t>
      </w:r>
    </w:p>
    <w:p>
      <w:pPr>
        <w:pageBreakBefore w:val="0"/>
        <w:kinsoku/>
        <w:topLinePunct w:val="0"/>
        <w:autoSpaceDE/>
        <w:autoSpaceDN/>
        <w:bidi w:val="0"/>
        <w:spacing w:line="360" w:lineRule="auto"/>
        <w:rPr>
          <w:rFonts w:ascii="宋体" w:hAnsi="宋体" w:eastAsia="宋体"/>
          <w:color w:val="auto"/>
          <w:sz w:val="21"/>
          <w:szCs w:val="21"/>
          <w:highlight w:val="none"/>
        </w:rPr>
      </w:pPr>
    </w:p>
    <w:p>
      <w:pPr>
        <w:pageBreakBefore w:val="0"/>
        <w:kinsoku/>
        <w:topLinePunct w:val="0"/>
        <w:autoSpaceDE/>
        <w:autoSpaceDN/>
        <w:bidi w:val="0"/>
        <w:spacing w:line="360" w:lineRule="auto"/>
        <w:ind w:left="718" w:hanging="718" w:hangingChars="342"/>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1、投标人应对照招标文件商务要求，说明已对招标文件的商务内容做出了实质性的响应。</w:t>
      </w:r>
    </w:p>
    <w:p>
      <w:pPr>
        <w:pageBreakBefore w:val="0"/>
        <w:kinsoku/>
        <w:topLinePunct w:val="0"/>
        <w:autoSpaceDE/>
        <w:autoSpaceDN/>
        <w:bidi w:val="0"/>
        <w:spacing w:after="0" w:line="360" w:lineRule="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rPr>
        <w:t>2、商务条款</w:t>
      </w:r>
      <w:r>
        <w:rPr>
          <w:rFonts w:hint="eastAsia" w:ascii="宋体" w:hAnsi="宋体" w:eastAsia="宋体"/>
          <w:color w:val="auto"/>
          <w:sz w:val="21"/>
          <w:szCs w:val="21"/>
          <w:highlight w:val="none"/>
          <w:lang w:eastAsia="zh-CN"/>
        </w:rPr>
        <w:t>根据“第三部分</w:t>
      </w:r>
      <w:r>
        <w:rPr>
          <w:rFonts w:hint="eastAsia" w:ascii="宋体" w:hAnsi="宋体" w:eastAsia="宋体"/>
          <w:color w:val="auto"/>
          <w:sz w:val="21"/>
          <w:szCs w:val="21"/>
          <w:highlight w:val="none"/>
          <w:lang w:val="en-US" w:eastAsia="zh-CN"/>
        </w:rPr>
        <w:t xml:space="preserve"> 用户需求书</w:t>
      </w:r>
      <w:r>
        <w:rPr>
          <w:rFonts w:hint="eastAsia" w:ascii="宋体" w:hAnsi="宋体" w:eastAsia="宋体"/>
          <w:color w:val="auto"/>
          <w:sz w:val="21"/>
          <w:szCs w:val="21"/>
          <w:highlight w:val="none"/>
          <w:lang w:eastAsia="zh-CN"/>
        </w:rPr>
        <w:t>”的“商务需求”填写。</w:t>
      </w:r>
    </w:p>
    <w:p>
      <w:pPr>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3、</w:t>
      </w:r>
      <w:r>
        <w:rPr>
          <w:rFonts w:hint="eastAsia" w:ascii="宋体" w:hAnsi="宋体" w:eastAsia="宋体"/>
          <w:color w:val="auto"/>
          <w:sz w:val="21"/>
          <w:szCs w:val="21"/>
          <w:highlight w:val="none"/>
          <w:lang w:eastAsia="zh-CN"/>
        </w:rPr>
        <w:t>若文件有具体要求的，应按照文件要求进行逐一响应，并提供相应的证明材料</w:t>
      </w:r>
      <w:r>
        <w:rPr>
          <w:rFonts w:hint="eastAsia" w:ascii="宋体" w:hAnsi="宋体" w:eastAsia="宋体"/>
          <w:color w:val="auto"/>
          <w:sz w:val="21"/>
          <w:szCs w:val="21"/>
          <w:highlight w:val="none"/>
        </w:rPr>
        <w:t>。</w:t>
      </w:r>
    </w:p>
    <w:p>
      <w:pPr>
        <w:pageBreakBefore w:val="0"/>
        <w:kinsoku/>
        <w:topLinePunct w:val="0"/>
        <w:autoSpaceDE/>
        <w:autoSpaceDN/>
        <w:bidi w:val="0"/>
        <w:adjustRightInd/>
        <w:snapToGrid/>
        <w:spacing w:line="360" w:lineRule="auto"/>
        <w:rPr>
          <w:color w:val="auto"/>
          <w:highlight w:val="none"/>
        </w:rPr>
      </w:pPr>
    </w:p>
    <w:p>
      <w:pPr>
        <w:pStyle w:val="5"/>
        <w:pageBreakBefore w:val="0"/>
        <w:widowControl w:val="0"/>
        <w:kinsoku/>
        <w:overflowPunct w:val="0"/>
        <w:topLinePunct w:val="0"/>
        <w:autoSpaceDE/>
        <w:autoSpaceDN/>
        <w:bidi w:val="0"/>
        <w:spacing w:before="0" w:after="0" w:line="360" w:lineRule="auto"/>
        <w:rPr>
          <w:rFonts w:ascii="宋体" w:hAnsi="宋体" w:eastAsia="宋体"/>
          <w:color w:val="auto"/>
          <w:sz w:val="21"/>
          <w:szCs w:val="21"/>
          <w:highlight w:val="none"/>
        </w:rPr>
      </w:pPr>
      <w:bookmarkStart w:id="110" w:name="_Toc7552"/>
      <w:r>
        <w:rPr>
          <w:rFonts w:hint="eastAsia" w:ascii="宋体" w:hAnsi="宋体" w:eastAsia="宋体"/>
          <w:color w:val="auto"/>
          <w:sz w:val="21"/>
          <w:szCs w:val="21"/>
          <w:highlight w:val="none"/>
        </w:rPr>
        <w:t xml:space="preserve">附件11. </w:t>
      </w:r>
      <w:r>
        <w:rPr>
          <w:rFonts w:hint="eastAsia" w:ascii="宋体" w:hAnsi="宋体" w:eastAsia="宋体"/>
          <w:color w:val="auto"/>
          <w:sz w:val="21"/>
          <w:szCs w:val="21"/>
          <w:highlight w:val="none"/>
          <w:lang w:eastAsia="zh-CN"/>
        </w:rPr>
        <w:t>技术条款</w:t>
      </w:r>
      <w:r>
        <w:rPr>
          <w:rFonts w:hint="eastAsia" w:ascii="宋体" w:hAnsi="宋体" w:eastAsia="宋体"/>
          <w:color w:val="auto"/>
          <w:sz w:val="21"/>
          <w:szCs w:val="21"/>
          <w:highlight w:val="none"/>
        </w:rPr>
        <w:t>偏离表格式</w:t>
      </w:r>
      <w:bookmarkEnd w:id="110"/>
    </w:p>
    <w:p>
      <w:pPr>
        <w:pageBreakBefore w:val="0"/>
        <w:kinsoku/>
        <w:topLinePunct w:val="0"/>
        <w:autoSpaceDE/>
        <w:autoSpaceDN/>
        <w:bidi w:val="0"/>
        <w:spacing w:line="360" w:lineRule="auto"/>
        <w:jc w:val="center"/>
        <w:rPr>
          <w:rFonts w:ascii="黑体" w:eastAsia="黑体"/>
          <w:color w:val="auto"/>
          <w:sz w:val="28"/>
          <w:szCs w:val="28"/>
          <w:highlight w:val="none"/>
        </w:rPr>
      </w:pPr>
    </w:p>
    <w:p>
      <w:pPr>
        <w:pageBreakBefore w:val="0"/>
        <w:kinsoku/>
        <w:topLinePunct w:val="0"/>
        <w:autoSpaceDE/>
        <w:autoSpaceDN/>
        <w:bidi w:val="0"/>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lang w:eastAsia="zh-CN"/>
        </w:rPr>
        <w:t>技术条款</w:t>
      </w:r>
      <w:r>
        <w:rPr>
          <w:rFonts w:hint="eastAsia" w:ascii="黑体" w:eastAsia="黑体"/>
          <w:color w:val="auto"/>
          <w:sz w:val="28"/>
          <w:szCs w:val="28"/>
          <w:highlight w:val="none"/>
        </w:rPr>
        <w:t>偏离表</w:t>
      </w:r>
    </w:p>
    <w:tbl>
      <w:tblPr>
        <w:tblStyle w:val="1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1573"/>
        <w:gridCol w:w="1699"/>
        <w:gridCol w:w="1629"/>
        <w:gridCol w:w="1239"/>
        <w:gridCol w:w="1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38" w:type="dxa"/>
            <w:vAlign w:val="center"/>
          </w:tcPr>
          <w:p>
            <w:pPr>
              <w:pageBreakBefore w:val="0"/>
              <w:kinsoku/>
              <w:topLinePunct w:val="0"/>
              <w:autoSpaceDE/>
              <w:autoSpaceDN/>
              <w:bidi w:val="0"/>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序号</w:t>
            </w:r>
          </w:p>
        </w:tc>
        <w:tc>
          <w:tcPr>
            <w:tcW w:w="1573" w:type="dxa"/>
            <w:vAlign w:val="center"/>
          </w:tcPr>
          <w:p>
            <w:pPr>
              <w:pageBreakBefore w:val="0"/>
              <w:kinsoku/>
              <w:topLinePunct w:val="0"/>
              <w:autoSpaceDE/>
              <w:autoSpaceDN/>
              <w:bidi w:val="0"/>
              <w:spacing w:after="0" w:line="360" w:lineRule="auto"/>
              <w:jc w:val="cente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技术条款名称</w:t>
            </w:r>
          </w:p>
        </w:tc>
        <w:tc>
          <w:tcPr>
            <w:tcW w:w="1699" w:type="dxa"/>
            <w:vAlign w:val="center"/>
          </w:tcPr>
          <w:p>
            <w:pPr>
              <w:pageBreakBefore w:val="0"/>
              <w:kinsoku/>
              <w:topLinePunct w:val="0"/>
              <w:autoSpaceDE/>
              <w:autoSpaceDN/>
              <w:bidi w:val="0"/>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招标要求</w:t>
            </w:r>
          </w:p>
        </w:tc>
        <w:tc>
          <w:tcPr>
            <w:tcW w:w="1629" w:type="dxa"/>
            <w:vAlign w:val="center"/>
          </w:tcPr>
          <w:p>
            <w:pPr>
              <w:pageBreakBefore w:val="0"/>
              <w:kinsoku/>
              <w:topLinePunct w:val="0"/>
              <w:autoSpaceDE/>
              <w:autoSpaceDN/>
              <w:bidi w:val="0"/>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投标实际响应</w:t>
            </w:r>
          </w:p>
        </w:tc>
        <w:tc>
          <w:tcPr>
            <w:tcW w:w="1239" w:type="dxa"/>
            <w:vAlign w:val="center"/>
          </w:tcPr>
          <w:p>
            <w:pPr>
              <w:pageBreakBefore w:val="0"/>
              <w:kinsoku/>
              <w:topLinePunct w:val="0"/>
              <w:autoSpaceDE/>
              <w:autoSpaceDN/>
              <w:bidi w:val="0"/>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是否偏离</w:t>
            </w:r>
          </w:p>
        </w:tc>
        <w:tc>
          <w:tcPr>
            <w:tcW w:w="1544" w:type="dxa"/>
            <w:vAlign w:val="center"/>
          </w:tcPr>
          <w:p>
            <w:pPr>
              <w:pageBreakBefore w:val="0"/>
              <w:kinsoku/>
              <w:topLinePunct w:val="0"/>
              <w:autoSpaceDE/>
              <w:autoSpaceDN/>
              <w:bidi w:val="0"/>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7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9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23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44"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7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9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23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44"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7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9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23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44"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7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9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23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44"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7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9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23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44"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7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9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23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44"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7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9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23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44"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7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9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23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44"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7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9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23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44"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73"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9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62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239"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1544" w:type="dxa"/>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bl>
    <w:p>
      <w:pPr>
        <w:pageBreakBefore w:val="0"/>
        <w:kinsoku/>
        <w:topLinePunct w:val="0"/>
        <w:autoSpaceDE/>
        <w:autoSpaceDN/>
        <w:bidi w:val="0"/>
        <w:spacing w:line="360" w:lineRule="auto"/>
        <w:rPr>
          <w:rFonts w:ascii="宋体" w:hAnsi="宋体" w:eastAsia="宋体"/>
          <w:color w:val="auto"/>
          <w:sz w:val="21"/>
          <w:szCs w:val="21"/>
          <w:highlight w:val="none"/>
        </w:rPr>
      </w:pPr>
    </w:p>
    <w:p>
      <w:pPr>
        <w:pageBreakBefore w:val="0"/>
        <w:kinsoku/>
        <w:topLinePunct w:val="0"/>
        <w:autoSpaceDE/>
        <w:autoSpaceDN/>
        <w:bidi w:val="0"/>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投标人代表签字：</w:t>
      </w:r>
    </w:p>
    <w:p>
      <w:pPr>
        <w:pageBreakBefore w:val="0"/>
        <w:kinsoku/>
        <w:topLinePunct w:val="0"/>
        <w:autoSpaceDE/>
        <w:autoSpaceDN/>
        <w:bidi w:val="0"/>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投标人盖章：</w:t>
      </w:r>
    </w:p>
    <w:p>
      <w:pPr>
        <w:pageBreakBefore w:val="0"/>
        <w:kinsoku/>
        <w:topLinePunct w:val="0"/>
        <w:autoSpaceDE/>
        <w:autoSpaceDN/>
        <w:bidi w:val="0"/>
        <w:spacing w:line="360" w:lineRule="auto"/>
        <w:ind w:firstLine="178" w:firstLineChars="85"/>
        <w:rPr>
          <w:rFonts w:ascii="宋体" w:hAnsi="宋体" w:eastAsia="宋体"/>
          <w:color w:val="auto"/>
          <w:sz w:val="21"/>
          <w:szCs w:val="21"/>
          <w:highlight w:val="none"/>
        </w:rPr>
      </w:pPr>
    </w:p>
    <w:p>
      <w:pPr>
        <w:pageBreakBefore w:val="0"/>
        <w:kinsoku/>
        <w:topLinePunct w:val="0"/>
        <w:autoSpaceDE/>
        <w:autoSpaceDN/>
        <w:bidi w:val="0"/>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pageBreakBefore w:val="0"/>
        <w:kinsoku/>
        <w:topLinePunct w:val="0"/>
        <w:autoSpaceDE/>
        <w:autoSpaceDN/>
        <w:bidi w:val="0"/>
        <w:spacing w:after="0" w:line="360" w:lineRule="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1、偏离项中填写“正”、“负”或“无”，说明项中填写原因。</w:t>
      </w:r>
    </w:p>
    <w:p>
      <w:pPr>
        <w:pageBreakBefore w:val="0"/>
        <w:kinsoku/>
        <w:topLinePunct w:val="0"/>
        <w:autoSpaceDE/>
        <w:autoSpaceDN/>
        <w:bidi w:val="0"/>
        <w:spacing w:after="0" w:line="360" w:lineRule="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2、</w:t>
      </w:r>
      <w:r>
        <w:rPr>
          <w:rFonts w:hint="eastAsia" w:ascii="宋体" w:hAnsi="宋体" w:eastAsia="宋体"/>
          <w:color w:val="auto"/>
          <w:sz w:val="21"/>
          <w:szCs w:val="21"/>
          <w:highlight w:val="none"/>
          <w:lang w:eastAsia="zh-CN"/>
        </w:rPr>
        <w:t>技术</w:t>
      </w:r>
      <w:r>
        <w:rPr>
          <w:rFonts w:hint="eastAsia" w:ascii="宋体" w:hAnsi="宋体" w:eastAsia="宋体"/>
          <w:color w:val="auto"/>
          <w:sz w:val="21"/>
          <w:szCs w:val="21"/>
          <w:highlight w:val="none"/>
        </w:rPr>
        <w:t>条款</w:t>
      </w:r>
      <w:r>
        <w:rPr>
          <w:rFonts w:hint="eastAsia" w:ascii="宋体" w:hAnsi="宋体" w:eastAsia="宋体"/>
          <w:color w:val="auto"/>
          <w:sz w:val="21"/>
          <w:szCs w:val="21"/>
          <w:highlight w:val="none"/>
          <w:lang w:eastAsia="zh-CN"/>
        </w:rPr>
        <w:t>根据“第三部分</w:t>
      </w:r>
      <w:r>
        <w:rPr>
          <w:rFonts w:hint="eastAsia" w:ascii="宋体" w:hAnsi="宋体" w:eastAsia="宋体"/>
          <w:color w:val="auto"/>
          <w:sz w:val="21"/>
          <w:szCs w:val="21"/>
          <w:highlight w:val="none"/>
          <w:lang w:val="en-US" w:eastAsia="zh-CN"/>
        </w:rPr>
        <w:t xml:space="preserve"> 用户需求书</w:t>
      </w:r>
      <w:r>
        <w:rPr>
          <w:rFonts w:hint="eastAsia" w:ascii="宋体" w:hAnsi="宋体" w:eastAsia="宋体"/>
          <w:color w:val="auto"/>
          <w:sz w:val="21"/>
          <w:szCs w:val="21"/>
          <w:highlight w:val="none"/>
          <w:lang w:eastAsia="zh-CN"/>
        </w:rPr>
        <w:t>”的“技术需求”填写。</w:t>
      </w:r>
    </w:p>
    <w:p>
      <w:pPr>
        <w:pageBreakBefore w:val="0"/>
        <w:kinsoku/>
        <w:topLinePunct w:val="0"/>
        <w:autoSpaceDE/>
        <w:autoSpaceDN/>
        <w:bidi w:val="0"/>
        <w:spacing w:after="0" w:line="360" w:lineRule="auto"/>
        <w:rPr>
          <w:rFonts w:ascii="宋体" w:hAnsi="宋体" w:eastAsia="宋体"/>
          <w:color w:val="auto"/>
          <w:sz w:val="21"/>
          <w:szCs w:val="21"/>
          <w:highlight w:val="none"/>
        </w:rPr>
      </w:pPr>
    </w:p>
    <w:p>
      <w:pPr>
        <w:pageBreakBefore w:val="0"/>
        <w:kinsoku/>
        <w:topLinePunct w:val="0"/>
        <w:autoSpaceDE/>
        <w:autoSpaceDN/>
        <w:bidi w:val="0"/>
        <w:adjustRightInd/>
        <w:snapToGrid/>
        <w:spacing w:line="360" w:lineRule="auto"/>
        <w:rPr>
          <w:color w:val="auto"/>
          <w:highlight w:val="none"/>
        </w:rPr>
      </w:pPr>
    </w:p>
    <w:p>
      <w:pPr>
        <w:pageBreakBefore w:val="0"/>
        <w:kinsoku/>
        <w:topLinePunct w:val="0"/>
        <w:autoSpaceDE/>
        <w:autoSpaceDN/>
        <w:bidi w:val="0"/>
        <w:spacing w:line="360" w:lineRule="auto"/>
        <w:rPr>
          <w:rFonts w:ascii="宋体" w:hAnsi="宋体" w:eastAsia="宋体"/>
          <w:color w:val="auto"/>
          <w:sz w:val="21"/>
          <w:szCs w:val="21"/>
          <w:highlight w:val="none"/>
        </w:rPr>
      </w:pPr>
      <w:bookmarkStart w:id="111" w:name="_Toc17691"/>
      <w:r>
        <w:rPr>
          <w:rFonts w:hint="eastAsia" w:ascii="宋体" w:hAnsi="宋体" w:eastAsia="宋体"/>
          <w:color w:val="auto"/>
          <w:sz w:val="21"/>
          <w:szCs w:val="21"/>
          <w:highlight w:val="none"/>
        </w:rPr>
        <w:br w:type="page"/>
      </w:r>
    </w:p>
    <w:p>
      <w:pPr>
        <w:pStyle w:val="5"/>
        <w:pageBreakBefore w:val="0"/>
        <w:widowControl w:val="0"/>
        <w:kinsoku/>
        <w:overflowPunct w:val="0"/>
        <w:topLinePunct w:val="0"/>
        <w:autoSpaceDE/>
        <w:autoSpaceDN/>
        <w:bidi w:val="0"/>
        <w:spacing w:before="0" w:after="0" w:line="360" w:lineRule="auto"/>
        <w:rPr>
          <w:rFonts w:ascii="宋体" w:hAnsi="宋体" w:eastAsia="宋体" w:cs="Times New Roman"/>
          <w:b w:val="0"/>
          <w:bCs w:val="0"/>
          <w:color w:val="auto"/>
          <w:sz w:val="32"/>
          <w:szCs w:val="32"/>
          <w:highlight w:val="none"/>
        </w:rPr>
      </w:pPr>
      <w:bookmarkStart w:id="112" w:name="_Toc9275"/>
      <w:r>
        <w:rPr>
          <w:rFonts w:hint="eastAsia" w:ascii="宋体" w:hAnsi="宋体" w:eastAsia="宋体"/>
          <w:color w:val="auto"/>
          <w:sz w:val="21"/>
          <w:szCs w:val="21"/>
          <w:highlight w:val="none"/>
        </w:rPr>
        <w:t>附件12.重要技术参数（▲）响应表</w:t>
      </w:r>
      <w:bookmarkEnd w:id="111"/>
      <w:bookmarkEnd w:id="112"/>
    </w:p>
    <w:p>
      <w:pPr>
        <w:pageBreakBefore w:val="0"/>
        <w:kinsoku/>
        <w:topLinePunct w:val="0"/>
        <w:autoSpaceDE/>
        <w:autoSpaceDN/>
        <w:bidi w:val="0"/>
        <w:spacing w:line="360" w:lineRule="auto"/>
        <w:jc w:val="center"/>
        <w:rPr>
          <w:rFonts w:ascii="黑体" w:eastAsia="黑体"/>
          <w:color w:val="auto"/>
          <w:sz w:val="28"/>
          <w:szCs w:val="28"/>
          <w:highlight w:val="none"/>
        </w:rPr>
      </w:pPr>
      <w:bookmarkStart w:id="113" w:name="_Toc26078"/>
      <w:bookmarkStart w:id="114" w:name="_Toc6080"/>
      <w:bookmarkStart w:id="115" w:name="_Toc4464"/>
      <w:bookmarkStart w:id="116" w:name="_Toc4827"/>
      <w:bookmarkStart w:id="117" w:name="_Toc18668"/>
      <w:bookmarkStart w:id="118" w:name="_Toc1274"/>
    </w:p>
    <w:p>
      <w:pPr>
        <w:pageBreakBefore w:val="0"/>
        <w:kinsoku/>
        <w:topLinePunct w:val="0"/>
        <w:autoSpaceDE/>
        <w:autoSpaceDN/>
        <w:bidi w:val="0"/>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重要技术参数（▲）响应表</w:t>
      </w:r>
      <w:bookmarkEnd w:id="113"/>
      <w:bookmarkEnd w:id="114"/>
      <w:bookmarkEnd w:id="115"/>
      <w:bookmarkEnd w:id="116"/>
      <w:bookmarkEnd w:id="117"/>
      <w:bookmarkEnd w:id="118"/>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2"/>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840"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bookmarkStart w:id="119" w:name="_Toc15903"/>
            <w:bookmarkStart w:id="120" w:name="_Toc16872"/>
            <w:bookmarkStart w:id="121" w:name="_Toc27090"/>
            <w:bookmarkStart w:id="122" w:name="_Toc10045"/>
            <w:bookmarkStart w:id="123" w:name="_Toc21208"/>
            <w:bookmarkStart w:id="124" w:name="_Toc14815"/>
            <w:bookmarkStart w:id="125" w:name="_Toc12049"/>
            <w:bookmarkStart w:id="126" w:name="_Toc15357"/>
            <w:bookmarkStart w:id="127" w:name="_Toc21739"/>
            <w:bookmarkStart w:id="128" w:name="_Toc2700"/>
            <w:bookmarkStart w:id="129" w:name="_Toc29642"/>
            <w:bookmarkStart w:id="130" w:name="_Toc22448"/>
            <w:bookmarkStart w:id="131" w:name="_Toc4304"/>
            <w:r>
              <w:rPr>
                <w:rFonts w:hint="eastAsia" w:ascii="宋体" w:hAnsi="宋体" w:eastAsia="宋体" w:cs="Times New Roman"/>
                <w:color w:val="auto"/>
                <w:sz w:val="21"/>
                <w:szCs w:val="21"/>
                <w:highlight w:val="none"/>
              </w:rPr>
              <w:t>技术参数（▲）</w:t>
            </w:r>
            <w:bookmarkEnd w:id="119"/>
            <w:bookmarkEnd w:id="120"/>
            <w:bookmarkEnd w:id="121"/>
            <w:bookmarkEnd w:id="122"/>
            <w:bookmarkEnd w:id="123"/>
            <w:bookmarkEnd w:id="124"/>
            <w:bookmarkEnd w:id="125"/>
            <w:bookmarkEnd w:id="126"/>
            <w:bookmarkEnd w:id="127"/>
            <w:bookmarkEnd w:id="128"/>
            <w:bookmarkEnd w:id="129"/>
            <w:bookmarkEnd w:id="130"/>
            <w:bookmarkEnd w:id="131"/>
          </w:p>
        </w:tc>
        <w:tc>
          <w:tcPr>
            <w:tcW w:w="2842"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bookmarkStart w:id="132" w:name="_Toc8312"/>
            <w:bookmarkStart w:id="133" w:name="_Toc19251"/>
            <w:bookmarkStart w:id="134" w:name="_Toc14810"/>
            <w:bookmarkStart w:id="135" w:name="_Toc8490"/>
            <w:bookmarkStart w:id="136" w:name="_Toc22917"/>
            <w:bookmarkStart w:id="137" w:name="_Toc27442"/>
            <w:bookmarkStart w:id="138" w:name="_Toc19977"/>
            <w:bookmarkStart w:id="139" w:name="_Toc21809"/>
            <w:bookmarkStart w:id="140" w:name="_Toc24662"/>
            <w:bookmarkStart w:id="141" w:name="_Toc22879"/>
            <w:bookmarkStart w:id="142" w:name="_Toc7333"/>
            <w:bookmarkStart w:id="143" w:name="_Toc32531"/>
            <w:bookmarkStart w:id="144" w:name="_Toc15615"/>
            <w:r>
              <w:rPr>
                <w:rFonts w:hint="eastAsia" w:ascii="宋体" w:hAnsi="宋体" w:eastAsia="宋体" w:cs="Times New Roman"/>
                <w:color w:val="auto"/>
                <w:sz w:val="21"/>
                <w:szCs w:val="21"/>
                <w:highlight w:val="none"/>
              </w:rPr>
              <w:t>是否响应</w:t>
            </w:r>
            <w:bookmarkEnd w:id="132"/>
            <w:bookmarkEnd w:id="133"/>
            <w:bookmarkEnd w:id="134"/>
            <w:bookmarkEnd w:id="135"/>
            <w:bookmarkEnd w:id="136"/>
            <w:bookmarkEnd w:id="137"/>
            <w:bookmarkEnd w:id="138"/>
            <w:bookmarkEnd w:id="139"/>
            <w:bookmarkEnd w:id="140"/>
            <w:bookmarkEnd w:id="141"/>
            <w:bookmarkEnd w:id="142"/>
            <w:bookmarkEnd w:id="143"/>
            <w:bookmarkEnd w:id="144"/>
          </w:p>
        </w:tc>
        <w:tc>
          <w:tcPr>
            <w:tcW w:w="2840"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bookmarkStart w:id="145" w:name="_Toc5563"/>
            <w:bookmarkStart w:id="146" w:name="_Toc17642"/>
            <w:bookmarkStart w:id="147" w:name="_Toc31875"/>
            <w:bookmarkStart w:id="148" w:name="_Toc3701"/>
            <w:bookmarkStart w:id="149" w:name="_Toc20139"/>
            <w:bookmarkStart w:id="150" w:name="_Toc27863"/>
            <w:bookmarkStart w:id="151" w:name="_Toc27185"/>
            <w:bookmarkStart w:id="152" w:name="_Toc17296"/>
            <w:bookmarkStart w:id="153" w:name="_Toc6410"/>
            <w:bookmarkStart w:id="154" w:name="_Toc20820"/>
            <w:bookmarkStart w:id="155" w:name="_Toc5992"/>
            <w:bookmarkStart w:id="156" w:name="_Toc1330"/>
            <w:bookmarkStart w:id="157" w:name="_Toc1912"/>
            <w:r>
              <w:rPr>
                <w:rFonts w:hint="eastAsia" w:ascii="宋体" w:hAnsi="宋体" w:eastAsia="宋体" w:cs="Times New Roman"/>
                <w:color w:val="auto"/>
                <w:sz w:val="21"/>
                <w:szCs w:val="21"/>
                <w:highlight w:val="none"/>
              </w:rPr>
              <w:t>页码范围</w:t>
            </w:r>
            <w:bookmarkEnd w:id="145"/>
            <w:bookmarkEnd w:id="146"/>
            <w:bookmarkEnd w:id="147"/>
            <w:bookmarkEnd w:id="148"/>
            <w:bookmarkEnd w:id="149"/>
            <w:bookmarkEnd w:id="150"/>
            <w:bookmarkEnd w:id="151"/>
            <w:bookmarkEnd w:id="152"/>
            <w:bookmarkEnd w:id="153"/>
            <w:bookmarkEnd w:id="154"/>
            <w:bookmarkEnd w:id="155"/>
            <w:bookmarkEnd w:id="156"/>
            <w:bookmarkEnd w:id="15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840"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c>
          <w:tcPr>
            <w:tcW w:w="2842"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c>
          <w:tcPr>
            <w:tcW w:w="2840"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840"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c>
          <w:tcPr>
            <w:tcW w:w="2842"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c>
          <w:tcPr>
            <w:tcW w:w="2840"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840"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c>
          <w:tcPr>
            <w:tcW w:w="2842"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c>
          <w:tcPr>
            <w:tcW w:w="2840"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840"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c>
          <w:tcPr>
            <w:tcW w:w="2842"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c>
          <w:tcPr>
            <w:tcW w:w="2840"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840"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c>
          <w:tcPr>
            <w:tcW w:w="2842"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c>
          <w:tcPr>
            <w:tcW w:w="2840"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840"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c>
          <w:tcPr>
            <w:tcW w:w="2842"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c>
          <w:tcPr>
            <w:tcW w:w="2840" w:type="dxa"/>
            <w:vAlign w:val="center"/>
          </w:tcPr>
          <w:p>
            <w:pPr>
              <w:pStyle w:val="5"/>
              <w:pageBreakBefore w:val="0"/>
              <w:widowControl w:val="0"/>
              <w:kinsoku/>
              <w:overflowPunct w:val="0"/>
              <w:topLinePunct w:val="0"/>
              <w:autoSpaceDE/>
              <w:autoSpaceDN/>
              <w:bidi w:val="0"/>
              <w:spacing w:before="0" w:after="0" w:line="360" w:lineRule="auto"/>
              <w:jc w:val="center"/>
              <w:rPr>
                <w:rFonts w:ascii="宋体" w:hAnsi="宋体" w:eastAsia="宋体" w:cs="Times New Roman"/>
                <w:color w:val="auto"/>
                <w:sz w:val="21"/>
                <w:szCs w:val="21"/>
                <w:highlight w:val="none"/>
              </w:rPr>
            </w:pPr>
          </w:p>
        </w:tc>
      </w:tr>
    </w:tbl>
    <w:p>
      <w:pPr>
        <w:pStyle w:val="25"/>
        <w:pageBreakBefore w:val="0"/>
        <w:kinsoku/>
        <w:topLinePunct w:val="0"/>
        <w:autoSpaceDE/>
        <w:autoSpaceDN/>
        <w:bidi w:val="0"/>
        <w:spacing w:after="0" w:line="360" w:lineRule="auto"/>
        <w:rPr>
          <w:rFonts w:ascii="宋体" w:hAnsi="宋体" w:eastAsia="宋体"/>
          <w:color w:val="auto"/>
          <w:sz w:val="21"/>
          <w:szCs w:val="21"/>
          <w:highlight w:val="none"/>
        </w:rPr>
      </w:pPr>
    </w:p>
    <w:p>
      <w:pPr>
        <w:pStyle w:val="25"/>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pStyle w:val="25"/>
        <w:pageBreakBefore w:val="0"/>
        <w:numPr>
          <w:ilvl w:val="0"/>
          <w:numId w:val="11"/>
        </w:numPr>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该表格为参考格式，投标人可按实际情况自行制订。</w:t>
      </w:r>
    </w:p>
    <w:p>
      <w:pPr>
        <w:pStyle w:val="25"/>
        <w:pageBreakBefore w:val="0"/>
        <w:numPr>
          <w:ilvl w:val="0"/>
          <w:numId w:val="11"/>
        </w:numPr>
        <w:kinsoku/>
        <w:topLinePunct w:val="0"/>
        <w:autoSpaceDE/>
        <w:autoSpaceDN/>
        <w:bidi w:val="0"/>
        <w:spacing w:after="0" w:line="360" w:lineRule="auto"/>
        <w:ind w:firstLine="422"/>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投标人可按项目的实际需要提供本表格。招标文件内未涉及▲参数的，此表可以不用提供。</w:t>
      </w:r>
    </w:p>
    <w:p>
      <w:pPr>
        <w:pStyle w:val="25"/>
        <w:pageBreakBefore w:val="0"/>
        <w:numPr>
          <w:ilvl w:val="0"/>
          <w:numId w:val="11"/>
        </w:numPr>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响应表所列出的材料应为真实准确的，若文件需要，应提供相关证明材料复印件加盖公章。请勿提供虚假、过期材料，否则将依据相关规定严肃处理</w:t>
      </w:r>
    </w:p>
    <w:p>
      <w:pPr>
        <w:pStyle w:val="25"/>
        <w:pageBreakBefore w:val="0"/>
        <w:numPr>
          <w:ilvl w:val="0"/>
          <w:numId w:val="11"/>
        </w:numPr>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若招标文件有需求，投标文件未提供重要技术参数（</w:t>
      </w:r>
      <w:r>
        <w:rPr>
          <w:rFonts w:hint="eastAsia" w:ascii="宋体" w:hAnsi="宋体" w:eastAsia="宋体" w:cs="Times New Roman"/>
          <w:color w:val="auto"/>
          <w:sz w:val="21"/>
          <w:szCs w:val="21"/>
          <w:highlight w:val="none"/>
        </w:rPr>
        <w:t>▲</w:t>
      </w:r>
      <w:r>
        <w:rPr>
          <w:rFonts w:hint="eastAsia" w:ascii="宋体" w:hAnsi="宋体" w:eastAsia="宋体"/>
          <w:color w:val="auto"/>
          <w:sz w:val="21"/>
          <w:szCs w:val="21"/>
          <w:highlight w:val="none"/>
        </w:rPr>
        <w:t>）响应表对投标人投标产生负面影响的，投标人自行承担后果。</w:t>
      </w:r>
    </w:p>
    <w:p>
      <w:pPr>
        <w:pStyle w:val="25"/>
        <w:pageBreakBefore w:val="0"/>
        <w:numPr>
          <w:ilvl w:val="0"/>
          <w:numId w:val="11"/>
        </w:numPr>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Style w:val="5"/>
        <w:pageBreakBefore w:val="0"/>
        <w:widowControl w:val="0"/>
        <w:kinsoku/>
        <w:overflowPunct w:val="0"/>
        <w:topLinePunct w:val="0"/>
        <w:autoSpaceDE/>
        <w:autoSpaceDN/>
        <w:bidi w:val="0"/>
        <w:spacing w:before="0" w:after="0" w:line="360" w:lineRule="auto"/>
        <w:rPr>
          <w:rFonts w:ascii="宋体" w:hAnsi="宋体" w:eastAsia="宋体"/>
          <w:color w:val="auto"/>
          <w:sz w:val="30"/>
          <w:szCs w:val="30"/>
          <w:highlight w:val="none"/>
        </w:rPr>
      </w:pPr>
      <w:bookmarkStart w:id="158" w:name="_Toc19767"/>
      <w:r>
        <w:rPr>
          <w:rFonts w:hint="eastAsia" w:ascii="宋体" w:hAnsi="宋体" w:eastAsia="宋体"/>
          <w:color w:val="auto"/>
          <w:sz w:val="21"/>
          <w:szCs w:val="21"/>
          <w:highlight w:val="none"/>
        </w:rPr>
        <w:t>附件13.业绩表</w:t>
      </w:r>
      <w:bookmarkEnd w:id="158"/>
    </w:p>
    <w:p>
      <w:pPr>
        <w:pageBreakBefore w:val="0"/>
        <w:kinsoku/>
        <w:topLinePunct w:val="0"/>
        <w:autoSpaceDE/>
        <w:autoSpaceDN/>
        <w:bidi w:val="0"/>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业绩表</w:t>
      </w:r>
    </w:p>
    <w:tbl>
      <w:tblPr>
        <w:tblStyle w:val="18"/>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5"/>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vAlign w:val="center"/>
          </w:tcPr>
          <w:p>
            <w:pPr>
              <w:pageBreakBefore w:val="0"/>
              <w:kinsoku/>
              <w:topLinePunct w:val="0"/>
              <w:autoSpaceDE/>
              <w:autoSpaceDN/>
              <w:bidi w:val="0"/>
              <w:adjustRightInd/>
              <w:snapToGrid/>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序号</w:t>
            </w:r>
          </w:p>
        </w:tc>
        <w:tc>
          <w:tcPr>
            <w:tcW w:w="1705" w:type="dxa"/>
            <w:vAlign w:val="center"/>
          </w:tcPr>
          <w:p>
            <w:pPr>
              <w:pageBreakBefore w:val="0"/>
              <w:kinsoku/>
              <w:topLinePunct w:val="0"/>
              <w:autoSpaceDE/>
              <w:autoSpaceDN/>
              <w:bidi w:val="0"/>
              <w:adjustRightInd/>
              <w:snapToGrid/>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项目名称</w:t>
            </w:r>
          </w:p>
        </w:tc>
        <w:tc>
          <w:tcPr>
            <w:tcW w:w="1706" w:type="dxa"/>
            <w:vAlign w:val="center"/>
          </w:tcPr>
          <w:p>
            <w:pPr>
              <w:pageBreakBefore w:val="0"/>
              <w:kinsoku/>
              <w:topLinePunct w:val="0"/>
              <w:autoSpaceDE/>
              <w:autoSpaceDN/>
              <w:bidi w:val="0"/>
              <w:adjustRightInd/>
              <w:snapToGrid/>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项目金额</w:t>
            </w:r>
          </w:p>
        </w:tc>
        <w:tc>
          <w:tcPr>
            <w:tcW w:w="1705" w:type="dxa"/>
            <w:vAlign w:val="center"/>
          </w:tcPr>
          <w:p>
            <w:pPr>
              <w:pageBreakBefore w:val="0"/>
              <w:kinsoku/>
              <w:topLinePunct w:val="0"/>
              <w:autoSpaceDE/>
              <w:autoSpaceDN/>
              <w:bidi w:val="0"/>
              <w:adjustRightInd/>
              <w:snapToGrid/>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项目合同签订时间</w:t>
            </w:r>
          </w:p>
        </w:tc>
        <w:tc>
          <w:tcPr>
            <w:tcW w:w="1697" w:type="dxa"/>
            <w:vAlign w:val="center"/>
          </w:tcPr>
          <w:p>
            <w:pPr>
              <w:pageBreakBefore w:val="0"/>
              <w:kinsoku/>
              <w:topLinePunct w:val="0"/>
              <w:autoSpaceDE/>
              <w:autoSpaceDN/>
              <w:bidi w:val="0"/>
              <w:adjustRightInd/>
              <w:snapToGrid/>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vAlign w:val="center"/>
          </w:tcPr>
          <w:p>
            <w:pPr>
              <w:pageBreakBefore w:val="0"/>
              <w:kinsoku/>
              <w:topLinePunct w:val="0"/>
              <w:autoSpaceDE/>
              <w:autoSpaceDN/>
              <w:bidi w:val="0"/>
              <w:adjustRightInd/>
              <w:snapToGrid/>
              <w:spacing w:after="0" w:line="360" w:lineRule="auto"/>
              <w:jc w:val="center"/>
              <w:rPr>
                <w:rFonts w:ascii="宋体" w:hAnsi="宋体" w:eastAsia="宋体"/>
                <w:color w:val="auto"/>
                <w:sz w:val="21"/>
                <w:szCs w:val="21"/>
                <w:highlight w:val="none"/>
              </w:rPr>
            </w:pPr>
          </w:p>
        </w:tc>
        <w:tc>
          <w:tcPr>
            <w:tcW w:w="1705" w:type="dxa"/>
            <w:vAlign w:val="center"/>
          </w:tcPr>
          <w:p>
            <w:pPr>
              <w:pageBreakBefore w:val="0"/>
              <w:kinsoku/>
              <w:topLinePunct w:val="0"/>
              <w:autoSpaceDE/>
              <w:autoSpaceDN/>
              <w:bidi w:val="0"/>
              <w:adjustRightInd/>
              <w:snapToGrid/>
              <w:spacing w:after="0" w:line="360" w:lineRule="auto"/>
              <w:jc w:val="center"/>
              <w:rPr>
                <w:rFonts w:ascii="宋体" w:hAnsi="宋体" w:eastAsia="宋体"/>
                <w:color w:val="auto"/>
                <w:sz w:val="21"/>
                <w:szCs w:val="21"/>
                <w:highlight w:val="none"/>
              </w:rPr>
            </w:pPr>
          </w:p>
        </w:tc>
        <w:tc>
          <w:tcPr>
            <w:tcW w:w="1706" w:type="dxa"/>
            <w:vAlign w:val="center"/>
          </w:tcPr>
          <w:p>
            <w:pPr>
              <w:pageBreakBefore w:val="0"/>
              <w:kinsoku/>
              <w:topLinePunct w:val="0"/>
              <w:autoSpaceDE/>
              <w:autoSpaceDN/>
              <w:bidi w:val="0"/>
              <w:adjustRightInd/>
              <w:snapToGrid/>
              <w:spacing w:after="0" w:line="360" w:lineRule="auto"/>
              <w:jc w:val="center"/>
              <w:rPr>
                <w:rFonts w:ascii="宋体" w:hAnsi="宋体" w:eastAsia="宋体"/>
                <w:color w:val="auto"/>
                <w:sz w:val="21"/>
                <w:szCs w:val="21"/>
                <w:highlight w:val="none"/>
              </w:rPr>
            </w:pPr>
          </w:p>
        </w:tc>
        <w:tc>
          <w:tcPr>
            <w:tcW w:w="1705" w:type="dxa"/>
            <w:vAlign w:val="center"/>
          </w:tcPr>
          <w:p>
            <w:pPr>
              <w:pageBreakBefore w:val="0"/>
              <w:kinsoku/>
              <w:topLinePunct w:val="0"/>
              <w:autoSpaceDE/>
              <w:autoSpaceDN/>
              <w:bidi w:val="0"/>
              <w:adjustRightInd/>
              <w:snapToGrid/>
              <w:spacing w:after="0" w:line="360" w:lineRule="auto"/>
              <w:jc w:val="center"/>
              <w:rPr>
                <w:rFonts w:ascii="宋体" w:hAnsi="宋体" w:eastAsia="宋体"/>
                <w:color w:val="auto"/>
                <w:sz w:val="21"/>
                <w:szCs w:val="21"/>
                <w:highlight w:val="none"/>
              </w:rPr>
            </w:pPr>
          </w:p>
        </w:tc>
        <w:tc>
          <w:tcPr>
            <w:tcW w:w="1697" w:type="dxa"/>
            <w:vAlign w:val="center"/>
          </w:tcPr>
          <w:p>
            <w:pPr>
              <w:pageBreakBefore w:val="0"/>
              <w:kinsoku/>
              <w:topLinePunct w:val="0"/>
              <w:autoSpaceDE/>
              <w:autoSpaceDN/>
              <w:bidi w:val="0"/>
              <w:adjustRightInd/>
              <w:snapToGrid/>
              <w:spacing w:after="0"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705"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706"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705"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697"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705"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706"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705"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697"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705"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706"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705"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697"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705"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706"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705"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697"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705"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706"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705"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c>
          <w:tcPr>
            <w:tcW w:w="1697" w:type="dxa"/>
          </w:tcPr>
          <w:p>
            <w:pPr>
              <w:pageBreakBefore w:val="0"/>
              <w:kinsoku/>
              <w:topLinePunct w:val="0"/>
              <w:autoSpaceDE/>
              <w:autoSpaceDN/>
              <w:bidi w:val="0"/>
              <w:adjustRightInd/>
              <w:snapToGrid/>
              <w:spacing w:after="0" w:line="360" w:lineRule="auto"/>
              <w:rPr>
                <w:rFonts w:ascii="宋体" w:hAnsi="宋体" w:eastAsia="宋体"/>
                <w:color w:val="auto"/>
                <w:sz w:val="21"/>
                <w:szCs w:val="21"/>
                <w:highlight w:val="none"/>
              </w:rPr>
            </w:pPr>
          </w:p>
        </w:tc>
      </w:tr>
    </w:tbl>
    <w:p>
      <w:pPr>
        <w:pStyle w:val="25"/>
        <w:pageBreakBefore w:val="0"/>
        <w:kinsoku/>
        <w:topLinePunct w:val="0"/>
        <w:autoSpaceDE/>
        <w:autoSpaceDN/>
        <w:bidi w:val="0"/>
        <w:spacing w:after="0" w:line="360" w:lineRule="auto"/>
        <w:rPr>
          <w:rFonts w:ascii="宋体" w:hAnsi="宋体" w:eastAsia="宋体"/>
          <w:color w:val="auto"/>
          <w:sz w:val="21"/>
          <w:szCs w:val="21"/>
          <w:highlight w:val="none"/>
        </w:rPr>
      </w:pPr>
    </w:p>
    <w:p>
      <w:pPr>
        <w:pStyle w:val="25"/>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pStyle w:val="25"/>
        <w:pageBreakBefore w:val="0"/>
        <w:numPr>
          <w:ilvl w:val="0"/>
          <w:numId w:val="12"/>
        </w:numPr>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该表格为参考格式，投标人可按实际情况自行制订。</w:t>
      </w:r>
    </w:p>
    <w:p>
      <w:pPr>
        <w:pStyle w:val="25"/>
        <w:pageBreakBefore w:val="0"/>
        <w:numPr>
          <w:ilvl w:val="0"/>
          <w:numId w:val="12"/>
        </w:numPr>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业绩表所列出的材料应为真实准确的，并应提供相关证明材料复印件加盖公章。请勿提供虚假、过期材料，否则将依据相关规定严肃处理。</w:t>
      </w:r>
    </w:p>
    <w:p>
      <w:pPr>
        <w:pStyle w:val="25"/>
        <w:pageBreakBefore w:val="0"/>
        <w:numPr>
          <w:ilvl w:val="0"/>
          <w:numId w:val="12"/>
        </w:numPr>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Style w:val="5"/>
        <w:pageBreakBefore w:val="0"/>
        <w:widowControl w:val="0"/>
        <w:kinsoku/>
        <w:overflowPunct w:val="0"/>
        <w:topLinePunct w:val="0"/>
        <w:autoSpaceDE/>
        <w:autoSpaceDN/>
        <w:bidi w:val="0"/>
        <w:spacing w:before="0" w:after="0" w:line="360" w:lineRule="auto"/>
        <w:rPr>
          <w:rFonts w:ascii="宋体" w:hAnsi="宋体" w:eastAsia="宋体"/>
          <w:color w:val="auto"/>
          <w:sz w:val="21"/>
          <w:szCs w:val="21"/>
          <w:highlight w:val="none"/>
        </w:rPr>
      </w:pPr>
      <w:bookmarkStart w:id="159" w:name="_Toc20567"/>
      <w:r>
        <w:rPr>
          <w:rFonts w:hint="eastAsia" w:ascii="宋体" w:hAnsi="宋体" w:eastAsia="宋体"/>
          <w:color w:val="auto"/>
          <w:sz w:val="21"/>
          <w:szCs w:val="21"/>
          <w:highlight w:val="none"/>
        </w:rPr>
        <w:t>附件14. 项目实施方案格式</w:t>
      </w:r>
      <w:bookmarkEnd w:id="159"/>
    </w:p>
    <w:p>
      <w:pPr>
        <w:pageBreakBefore w:val="0"/>
        <w:kinsoku/>
        <w:topLinePunct w:val="0"/>
        <w:autoSpaceDE/>
        <w:autoSpaceDN/>
        <w:bidi w:val="0"/>
        <w:spacing w:line="360" w:lineRule="auto"/>
        <w:jc w:val="center"/>
        <w:rPr>
          <w:rFonts w:ascii="黑体" w:eastAsia="黑体"/>
          <w:color w:val="auto"/>
          <w:sz w:val="32"/>
          <w:szCs w:val="32"/>
          <w:highlight w:val="none"/>
        </w:rPr>
      </w:pPr>
    </w:p>
    <w:p>
      <w:pPr>
        <w:pageBreakBefore w:val="0"/>
        <w:kinsoku/>
        <w:topLinePunct w:val="0"/>
        <w:autoSpaceDE/>
        <w:autoSpaceDN/>
        <w:bidi w:val="0"/>
        <w:spacing w:line="360" w:lineRule="auto"/>
        <w:jc w:val="center"/>
        <w:rPr>
          <w:rFonts w:ascii="黑体" w:eastAsia="黑体"/>
          <w:color w:val="auto"/>
          <w:sz w:val="32"/>
          <w:szCs w:val="32"/>
          <w:highlight w:val="none"/>
        </w:rPr>
      </w:pPr>
      <w:r>
        <w:rPr>
          <w:rFonts w:hint="eastAsia" w:ascii="黑体" w:eastAsia="黑体"/>
          <w:color w:val="auto"/>
          <w:sz w:val="32"/>
          <w:szCs w:val="32"/>
          <w:highlight w:val="none"/>
        </w:rPr>
        <w:t>项目实施方案</w:t>
      </w:r>
    </w:p>
    <w:p>
      <w:pPr>
        <w:pageBreakBefore w:val="0"/>
        <w:kinsoku/>
        <w:topLinePunct w:val="0"/>
        <w:autoSpaceDE/>
        <w:autoSpaceDN/>
        <w:bidi w:val="0"/>
        <w:spacing w:line="360" w:lineRule="auto"/>
        <w:jc w:val="center"/>
        <w:rPr>
          <w:rFonts w:ascii="黑体" w:eastAsia="黑体"/>
          <w:color w:val="auto"/>
          <w:sz w:val="32"/>
          <w:szCs w:val="32"/>
          <w:highlight w:val="none"/>
        </w:rPr>
      </w:pPr>
    </w:p>
    <w:p>
      <w:pPr>
        <w:keepNext w:val="0"/>
        <w:keepLines w:val="0"/>
        <w:pageBreakBefore w:val="0"/>
        <w:widowControl/>
        <w:kinsoku/>
        <w:wordWrap/>
        <w:overflowPunct/>
        <w:topLinePunct w:val="0"/>
        <w:autoSpaceDE/>
        <w:autoSpaceDN/>
        <w:bidi w:val="0"/>
        <w:adjustRightInd w:val="0"/>
        <w:snapToGrid w:val="0"/>
        <w:spacing w:after="0" w:line="360" w:lineRule="auto"/>
        <w:ind w:left="141" w:leftChars="64" w:firstLine="420" w:firstLineChars="200"/>
        <w:textAlignment w:val="auto"/>
        <w:rPr>
          <w:rFonts w:hint="eastAsia" w:ascii="宋体" w:hAnsi="宋体" w:eastAsia="宋体" w:cstheme="minorBidi"/>
          <w:color w:val="auto"/>
          <w:sz w:val="21"/>
          <w:szCs w:val="21"/>
          <w:highlight w:val="none"/>
          <w:lang w:val="en-US" w:eastAsia="zh-CN" w:bidi="ar-SA"/>
        </w:rPr>
      </w:pPr>
      <w:r>
        <w:rPr>
          <w:rFonts w:hint="eastAsia" w:ascii="宋体" w:hAnsi="宋体" w:eastAsia="宋体" w:cstheme="minorBidi"/>
          <w:color w:val="auto"/>
          <w:sz w:val="21"/>
          <w:szCs w:val="21"/>
          <w:highlight w:val="none"/>
          <w:lang w:val="en-US" w:eastAsia="zh-CN" w:bidi="ar-SA"/>
        </w:rPr>
        <w:t>投标人可根据“第二部分 相关资料表格”的“附表二：商务技术评分及价格权重表”自行编写。</w:t>
      </w:r>
    </w:p>
    <w:p>
      <w:pPr>
        <w:pageBreakBefore w:val="0"/>
        <w:kinsoku/>
        <w:topLinePunct w:val="0"/>
        <w:autoSpaceDE/>
        <w:autoSpaceDN/>
        <w:bidi w:val="0"/>
        <w:spacing w:after="0" w:line="360" w:lineRule="auto"/>
        <w:ind w:left="738" w:leftChars="200" w:hanging="298" w:hangingChars="142"/>
        <w:rPr>
          <w:rFonts w:ascii="宋体" w:hAnsi="宋体" w:eastAsia="宋体"/>
          <w:color w:val="auto"/>
          <w:sz w:val="21"/>
          <w:szCs w:val="21"/>
          <w:highlight w:val="none"/>
        </w:rPr>
      </w:pPr>
    </w:p>
    <w:p>
      <w:pPr>
        <w:pageBreakBefore w:val="0"/>
        <w:kinsoku/>
        <w:topLinePunct w:val="0"/>
        <w:autoSpaceDE/>
        <w:autoSpaceDN/>
        <w:bidi w:val="0"/>
        <w:spacing w:after="0" w:line="360" w:lineRule="auto"/>
        <w:ind w:left="738" w:leftChars="200" w:hanging="298" w:hangingChars="142"/>
        <w:rPr>
          <w:rFonts w:ascii="宋体" w:hAnsi="宋体" w:eastAsia="宋体"/>
          <w:color w:val="auto"/>
          <w:sz w:val="21"/>
          <w:szCs w:val="21"/>
          <w:highlight w:val="none"/>
        </w:rPr>
      </w:pPr>
    </w:p>
    <w:p>
      <w:pPr>
        <w:pageBreakBefore w:val="0"/>
        <w:kinsoku/>
        <w:topLinePunct w:val="0"/>
        <w:autoSpaceDE/>
        <w:autoSpaceDN/>
        <w:bidi w:val="0"/>
        <w:spacing w:after="0" w:line="360" w:lineRule="auto"/>
        <w:ind w:left="738" w:leftChars="200" w:hanging="298" w:hangingChars="142"/>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Style w:val="5"/>
        <w:pageBreakBefore w:val="0"/>
        <w:widowControl w:val="0"/>
        <w:kinsoku/>
        <w:overflowPunct w:val="0"/>
        <w:topLinePunct w:val="0"/>
        <w:autoSpaceDE/>
        <w:autoSpaceDN/>
        <w:bidi w:val="0"/>
        <w:spacing w:before="0" w:after="0" w:line="360" w:lineRule="auto"/>
        <w:rPr>
          <w:rFonts w:ascii="宋体" w:hAnsi="宋体" w:eastAsia="宋体"/>
          <w:color w:val="auto"/>
          <w:sz w:val="21"/>
          <w:szCs w:val="21"/>
          <w:highlight w:val="none"/>
        </w:rPr>
      </w:pPr>
      <w:bookmarkStart w:id="160" w:name="_Toc2677"/>
      <w:r>
        <w:rPr>
          <w:rFonts w:hint="eastAsia" w:ascii="宋体" w:hAnsi="宋体" w:eastAsia="宋体"/>
          <w:color w:val="auto"/>
          <w:sz w:val="21"/>
          <w:szCs w:val="21"/>
          <w:highlight w:val="none"/>
        </w:rPr>
        <w:t>附件15. 实施本项目的有关人员资料表格式</w:t>
      </w:r>
      <w:bookmarkEnd w:id="160"/>
    </w:p>
    <w:p>
      <w:pPr>
        <w:pageBreakBefore w:val="0"/>
        <w:kinsoku/>
        <w:topLinePunct w:val="0"/>
        <w:autoSpaceDE/>
        <w:autoSpaceDN/>
        <w:bidi w:val="0"/>
        <w:spacing w:line="360" w:lineRule="auto"/>
        <w:jc w:val="center"/>
        <w:rPr>
          <w:rFonts w:ascii="宋体" w:hAnsi="宋体" w:eastAsia="宋体"/>
          <w:color w:val="auto"/>
          <w:sz w:val="21"/>
          <w:szCs w:val="21"/>
          <w:highlight w:val="none"/>
        </w:rPr>
      </w:pPr>
    </w:p>
    <w:p>
      <w:pPr>
        <w:pageBreakBefore w:val="0"/>
        <w:kinsoku/>
        <w:topLinePunct w:val="0"/>
        <w:autoSpaceDE/>
        <w:autoSpaceDN/>
        <w:bidi w:val="0"/>
        <w:spacing w:line="360" w:lineRule="auto"/>
        <w:jc w:val="center"/>
        <w:rPr>
          <w:rFonts w:ascii="黑体" w:eastAsia="黑体"/>
          <w:color w:val="auto"/>
          <w:sz w:val="32"/>
          <w:szCs w:val="32"/>
          <w:highlight w:val="none"/>
        </w:rPr>
      </w:pPr>
      <w:r>
        <w:rPr>
          <w:rFonts w:hint="eastAsia" w:ascii="黑体" w:eastAsia="黑体"/>
          <w:color w:val="auto"/>
          <w:sz w:val="32"/>
          <w:szCs w:val="32"/>
          <w:highlight w:val="none"/>
        </w:rPr>
        <w:t>实施本项目的有关人员资料表</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883"/>
        <w:gridCol w:w="1497"/>
        <w:gridCol w:w="820"/>
        <w:gridCol w:w="761"/>
        <w:gridCol w:w="916"/>
        <w:gridCol w:w="914"/>
        <w:gridCol w:w="847"/>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序号</w:t>
            </w:r>
          </w:p>
        </w:tc>
        <w:tc>
          <w:tcPr>
            <w:tcW w:w="518" w:type="pct"/>
            <w:vAlign w:val="center"/>
          </w:tcPr>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姓名</w:t>
            </w:r>
          </w:p>
        </w:tc>
        <w:tc>
          <w:tcPr>
            <w:tcW w:w="878" w:type="pct"/>
            <w:vAlign w:val="center"/>
          </w:tcPr>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本项目拟任岗位</w:t>
            </w:r>
          </w:p>
        </w:tc>
        <w:tc>
          <w:tcPr>
            <w:tcW w:w="481" w:type="pct"/>
            <w:vAlign w:val="center"/>
          </w:tcPr>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性别</w:t>
            </w:r>
          </w:p>
        </w:tc>
        <w:tc>
          <w:tcPr>
            <w:tcW w:w="446" w:type="pct"/>
            <w:vAlign w:val="center"/>
          </w:tcPr>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年龄</w:t>
            </w:r>
          </w:p>
        </w:tc>
        <w:tc>
          <w:tcPr>
            <w:tcW w:w="537" w:type="pct"/>
            <w:vAlign w:val="center"/>
          </w:tcPr>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技术职称</w:t>
            </w:r>
          </w:p>
        </w:tc>
        <w:tc>
          <w:tcPr>
            <w:tcW w:w="536" w:type="pct"/>
            <w:vAlign w:val="center"/>
          </w:tcPr>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专 业</w:t>
            </w:r>
          </w:p>
        </w:tc>
        <w:tc>
          <w:tcPr>
            <w:tcW w:w="497" w:type="pct"/>
            <w:vAlign w:val="center"/>
          </w:tcPr>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资质证书</w:t>
            </w:r>
          </w:p>
        </w:tc>
        <w:tc>
          <w:tcPr>
            <w:tcW w:w="687" w:type="pct"/>
            <w:tcBorders>
              <w:right w:val="single" w:color="auto" w:sz="6" w:space="0"/>
            </w:tcBorders>
            <w:vAlign w:val="center"/>
          </w:tcPr>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1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87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81"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4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9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1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87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81"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4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9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1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87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81"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4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9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1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87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81"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4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9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1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87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81"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4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9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1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87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81"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4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9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1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87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81"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4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9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1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87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81"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4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9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1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87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81"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4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9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1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878"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81"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4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536"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497" w:type="pct"/>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pageBreakBefore w:val="0"/>
              <w:kinsoku/>
              <w:topLinePunct w:val="0"/>
              <w:autoSpaceDE/>
              <w:autoSpaceDN/>
              <w:bidi w:val="0"/>
              <w:spacing w:line="360" w:lineRule="auto"/>
              <w:jc w:val="center"/>
              <w:rPr>
                <w:rFonts w:ascii="宋体" w:hAnsi="宋体" w:eastAsia="宋体"/>
                <w:color w:val="auto"/>
                <w:sz w:val="21"/>
                <w:szCs w:val="21"/>
                <w:highlight w:val="none"/>
              </w:rPr>
            </w:pPr>
          </w:p>
        </w:tc>
      </w:tr>
    </w:tbl>
    <w:p>
      <w:pPr>
        <w:pageBreakBefore w:val="0"/>
        <w:kinsoku/>
        <w:topLinePunct w:val="0"/>
        <w:autoSpaceDE/>
        <w:autoSpaceDN/>
        <w:bidi w:val="0"/>
        <w:spacing w:line="360" w:lineRule="auto"/>
        <w:ind w:firstLine="178" w:firstLineChars="85"/>
        <w:rPr>
          <w:rFonts w:ascii="宋体" w:hAnsi="宋体" w:eastAsia="宋体"/>
          <w:color w:val="auto"/>
          <w:sz w:val="21"/>
          <w:szCs w:val="21"/>
          <w:highlight w:val="none"/>
        </w:rPr>
      </w:pPr>
    </w:p>
    <w:p>
      <w:pPr>
        <w:pageBreakBefore w:val="0"/>
        <w:kinsoku/>
        <w:topLinePunct w:val="0"/>
        <w:autoSpaceDE/>
        <w:autoSpaceDN/>
        <w:bidi w:val="0"/>
        <w:spacing w:line="360" w:lineRule="auto"/>
        <w:ind w:firstLine="178" w:firstLineChars="85"/>
        <w:rPr>
          <w:rFonts w:ascii="宋体" w:hAnsi="宋体" w:eastAsia="宋体"/>
          <w:color w:val="auto"/>
          <w:sz w:val="21"/>
          <w:szCs w:val="21"/>
          <w:highlight w:val="none"/>
        </w:rPr>
      </w:pPr>
      <w:r>
        <w:rPr>
          <w:rFonts w:hint="eastAsia" w:ascii="宋体" w:hAnsi="宋体" w:eastAsia="宋体"/>
          <w:color w:val="auto"/>
          <w:sz w:val="21"/>
          <w:szCs w:val="21"/>
          <w:highlight w:val="none"/>
        </w:rPr>
        <w:t>附有关证明文件（复印件加盖公章）</w:t>
      </w:r>
    </w:p>
    <w:p>
      <w:pPr>
        <w:pageBreakBefore w:val="0"/>
        <w:kinsoku/>
        <w:topLinePunct w:val="0"/>
        <w:autoSpaceDE/>
        <w:autoSpaceDN/>
        <w:bidi w:val="0"/>
        <w:spacing w:line="360" w:lineRule="auto"/>
        <w:ind w:firstLine="178" w:firstLineChars="85"/>
        <w:rPr>
          <w:rFonts w:ascii="宋体" w:hAnsi="宋体" w:eastAsia="宋体"/>
          <w:color w:val="auto"/>
          <w:sz w:val="21"/>
          <w:szCs w:val="21"/>
          <w:highlight w:val="none"/>
        </w:rPr>
      </w:pPr>
      <w:r>
        <w:rPr>
          <w:rFonts w:hint="eastAsia" w:ascii="宋体" w:hAnsi="宋体" w:eastAsia="宋体"/>
          <w:color w:val="auto"/>
          <w:sz w:val="21"/>
          <w:szCs w:val="21"/>
          <w:highlight w:val="none"/>
        </w:rPr>
        <w:t>投标人代表签字：</w:t>
      </w:r>
    </w:p>
    <w:p>
      <w:pPr>
        <w:pageBreakBefore w:val="0"/>
        <w:kinsoku/>
        <w:topLinePunct w:val="0"/>
        <w:autoSpaceDE/>
        <w:autoSpaceDN/>
        <w:bidi w:val="0"/>
        <w:spacing w:line="360" w:lineRule="auto"/>
        <w:ind w:firstLine="178" w:firstLineChars="85"/>
        <w:rPr>
          <w:rFonts w:ascii="宋体" w:hAnsi="宋体" w:eastAsia="宋体"/>
          <w:color w:val="auto"/>
          <w:sz w:val="21"/>
          <w:szCs w:val="21"/>
          <w:highlight w:val="none"/>
        </w:rPr>
      </w:pPr>
      <w:r>
        <w:rPr>
          <w:rFonts w:hint="eastAsia" w:ascii="宋体" w:hAnsi="宋体" w:eastAsia="宋体"/>
          <w:color w:val="auto"/>
          <w:sz w:val="21"/>
          <w:szCs w:val="21"/>
          <w:highlight w:val="none"/>
        </w:rPr>
        <w:t>投标人盖章：</w:t>
      </w:r>
    </w:p>
    <w:p>
      <w:pPr>
        <w:pageBreakBefore w:val="0"/>
        <w:kinsoku/>
        <w:topLinePunct w:val="0"/>
        <w:autoSpaceDE/>
        <w:autoSpaceDN/>
        <w:bidi w:val="0"/>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pStyle w:val="25"/>
        <w:pageBreakBefore w:val="0"/>
        <w:numPr>
          <w:ilvl w:val="0"/>
          <w:numId w:val="13"/>
        </w:numPr>
        <w:kinsoku/>
        <w:topLinePunct w:val="0"/>
        <w:autoSpaceDE/>
        <w:autoSpaceDN/>
        <w:bidi w:val="0"/>
        <w:spacing w:line="360" w:lineRule="auto"/>
        <w:ind w:firstLineChars="0"/>
        <w:rPr>
          <w:rFonts w:ascii="宋体" w:hAnsi="宋体" w:eastAsia="宋体"/>
          <w:color w:val="auto"/>
          <w:sz w:val="21"/>
          <w:szCs w:val="21"/>
          <w:highlight w:val="none"/>
        </w:rPr>
      </w:pPr>
      <w:r>
        <w:rPr>
          <w:rFonts w:hint="eastAsia" w:ascii="宋体" w:hAnsi="宋体" w:eastAsia="宋体"/>
          <w:color w:val="auto"/>
          <w:sz w:val="21"/>
          <w:szCs w:val="21"/>
          <w:highlight w:val="none"/>
        </w:rPr>
        <w:t>投标人可按项目的实际需要</w:t>
      </w:r>
      <w:r>
        <w:rPr>
          <w:rFonts w:hint="eastAsia" w:ascii="宋体" w:hAnsi="宋体" w:eastAsia="宋体"/>
          <w:color w:val="auto"/>
          <w:sz w:val="21"/>
          <w:szCs w:val="21"/>
          <w:highlight w:val="none"/>
          <w:lang w:eastAsia="zh-CN"/>
        </w:rPr>
        <w:t>或招标文件的要求</w:t>
      </w:r>
      <w:r>
        <w:rPr>
          <w:rFonts w:hint="eastAsia" w:ascii="宋体" w:hAnsi="宋体" w:eastAsia="宋体"/>
          <w:color w:val="auto"/>
          <w:sz w:val="21"/>
          <w:szCs w:val="21"/>
          <w:highlight w:val="none"/>
        </w:rPr>
        <w:t>提供本表格。</w:t>
      </w:r>
    </w:p>
    <w:p>
      <w:pPr>
        <w:pStyle w:val="25"/>
        <w:pageBreakBefore w:val="0"/>
        <w:numPr>
          <w:ilvl w:val="0"/>
          <w:numId w:val="13"/>
        </w:numPr>
        <w:kinsoku/>
        <w:topLinePunct w:val="0"/>
        <w:autoSpaceDE/>
        <w:autoSpaceDN/>
        <w:bidi w:val="0"/>
        <w:spacing w:line="360" w:lineRule="auto"/>
        <w:ind w:firstLineChars="0"/>
        <w:rPr>
          <w:rFonts w:ascii="宋体" w:hAnsi="宋体" w:eastAsia="宋体" w:cs="Times New Roman"/>
          <w:color w:val="auto"/>
          <w:sz w:val="21"/>
          <w:szCs w:val="21"/>
          <w:highlight w:val="none"/>
        </w:rPr>
      </w:pPr>
      <w:r>
        <w:rPr>
          <w:rFonts w:hint="eastAsia" w:ascii="宋体" w:hAnsi="宋体" w:eastAsia="宋体"/>
          <w:color w:val="auto"/>
          <w:sz w:val="21"/>
          <w:szCs w:val="21"/>
          <w:highlight w:val="none"/>
        </w:rPr>
        <w:t>该表格为参考格式，投标人可按实际情况自行制订。</w:t>
      </w:r>
    </w:p>
    <w:p>
      <w:pPr>
        <w:pStyle w:val="25"/>
        <w:pageBreakBefore w:val="0"/>
        <w:numPr>
          <w:ilvl w:val="0"/>
          <w:numId w:val="13"/>
        </w:numPr>
        <w:kinsoku/>
        <w:topLinePunct w:val="0"/>
        <w:autoSpaceDE/>
        <w:autoSpaceDN/>
        <w:bidi w:val="0"/>
        <w:spacing w:line="360" w:lineRule="auto"/>
        <w:ind w:firstLineChars="0"/>
        <w:rPr>
          <w:rFonts w:ascii="宋体" w:hAnsi="宋体" w:eastAsia="宋体" w:cs="Times New Roman"/>
          <w:color w:val="auto"/>
          <w:sz w:val="21"/>
          <w:szCs w:val="21"/>
          <w:highlight w:val="none"/>
        </w:rPr>
      </w:pPr>
      <w:r>
        <w:rPr>
          <w:rFonts w:hint="eastAsia" w:ascii="宋体" w:hAnsi="宋体" w:eastAsia="宋体"/>
          <w:color w:val="auto"/>
          <w:sz w:val="21"/>
          <w:szCs w:val="21"/>
          <w:highlight w:val="none"/>
          <w:lang w:eastAsia="zh-CN"/>
        </w:rPr>
        <w:t>如本项目不涉及此表内容，则无需提供此表。</w:t>
      </w:r>
      <w:r>
        <w:rPr>
          <w:rFonts w:hint="eastAsia" w:ascii="宋体" w:hAnsi="宋体" w:eastAsia="宋体"/>
          <w:color w:val="auto"/>
          <w:sz w:val="21"/>
          <w:szCs w:val="21"/>
          <w:highlight w:val="none"/>
        </w:rPr>
        <w:br w:type="page"/>
      </w:r>
    </w:p>
    <w:p>
      <w:pPr>
        <w:pStyle w:val="5"/>
        <w:pageBreakBefore w:val="0"/>
        <w:widowControl w:val="0"/>
        <w:kinsoku/>
        <w:overflowPunct w:val="0"/>
        <w:topLinePunct w:val="0"/>
        <w:autoSpaceDE/>
        <w:autoSpaceDN/>
        <w:bidi w:val="0"/>
        <w:spacing w:before="0" w:after="0" w:line="360" w:lineRule="auto"/>
        <w:rPr>
          <w:rFonts w:ascii="宋体" w:hAnsi="宋体" w:eastAsia="宋体"/>
          <w:color w:val="auto"/>
          <w:sz w:val="21"/>
          <w:szCs w:val="21"/>
          <w:highlight w:val="none"/>
        </w:rPr>
      </w:pPr>
      <w:bookmarkStart w:id="161" w:name="_Toc27215"/>
      <w:r>
        <w:rPr>
          <w:rFonts w:hint="eastAsia" w:ascii="宋体" w:hAnsi="宋体" w:eastAsia="宋体"/>
          <w:color w:val="auto"/>
          <w:sz w:val="21"/>
          <w:szCs w:val="21"/>
          <w:highlight w:val="none"/>
        </w:rPr>
        <w:t>附件16.投标货物说明一览表格式</w:t>
      </w:r>
      <w:bookmarkEnd w:id="161"/>
    </w:p>
    <w:p>
      <w:pPr>
        <w:pageBreakBefore w:val="0"/>
        <w:kinsoku/>
        <w:topLinePunct w:val="0"/>
        <w:autoSpaceDE/>
        <w:autoSpaceDN/>
        <w:bidi w:val="0"/>
        <w:spacing w:line="360" w:lineRule="auto"/>
        <w:jc w:val="center"/>
        <w:rPr>
          <w:rFonts w:ascii="黑体" w:eastAsia="黑体"/>
          <w:color w:val="auto"/>
          <w:sz w:val="28"/>
          <w:szCs w:val="28"/>
          <w:highlight w:val="none"/>
        </w:rPr>
      </w:pPr>
    </w:p>
    <w:p>
      <w:pPr>
        <w:pageBreakBefore w:val="0"/>
        <w:kinsoku/>
        <w:topLinePunct w:val="0"/>
        <w:autoSpaceDE/>
        <w:autoSpaceDN/>
        <w:bidi w:val="0"/>
        <w:spacing w:line="360" w:lineRule="auto"/>
        <w:jc w:val="center"/>
        <w:rPr>
          <w:rFonts w:ascii="黑体" w:eastAsia="黑体" w:cs="Times New Roman"/>
          <w:color w:val="auto"/>
          <w:sz w:val="28"/>
          <w:szCs w:val="28"/>
          <w:highlight w:val="none"/>
        </w:rPr>
      </w:pPr>
      <w:r>
        <w:rPr>
          <w:rFonts w:hint="eastAsia" w:ascii="黑体" w:eastAsia="黑体" w:cs="Times New Roman"/>
          <w:color w:val="auto"/>
          <w:sz w:val="28"/>
          <w:szCs w:val="28"/>
          <w:highlight w:val="none"/>
        </w:rPr>
        <w:t>投标货物说明一览表</w:t>
      </w:r>
    </w:p>
    <w:tbl>
      <w:tblPr>
        <w:tblStyle w:val="1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1244"/>
        <w:gridCol w:w="1133"/>
        <w:gridCol w:w="850"/>
        <w:gridCol w:w="850"/>
        <w:gridCol w:w="850"/>
        <w:gridCol w:w="850"/>
        <w:gridCol w:w="1160"/>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序号</w:t>
            </w:r>
          </w:p>
        </w:tc>
        <w:tc>
          <w:tcPr>
            <w:tcW w:w="730"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货物名称</w:t>
            </w:r>
          </w:p>
        </w:tc>
        <w:tc>
          <w:tcPr>
            <w:tcW w:w="665"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规格型号</w:t>
            </w:r>
          </w:p>
        </w:tc>
        <w:tc>
          <w:tcPr>
            <w:tcW w:w="499" w:type="pct"/>
            <w:vAlign w:val="center"/>
          </w:tcPr>
          <w:p>
            <w:pPr>
              <w:pageBreakBefore w:val="0"/>
              <w:kinsoku/>
              <w:topLinePunct w:val="0"/>
              <w:autoSpaceDE/>
              <w:autoSpaceDN/>
              <w:bidi w:val="0"/>
              <w:spacing w:after="0" w:line="360" w:lineRule="auto"/>
              <w:jc w:val="center"/>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eastAsia="zh-CN"/>
              </w:rPr>
              <w:t>品牌</w:t>
            </w:r>
          </w:p>
        </w:tc>
        <w:tc>
          <w:tcPr>
            <w:tcW w:w="499" w:type="pct"/>
            <w:vAlign w:val="center"/>
          </w:tcPr>
          <w:p>
            <w:pPr>
              <w:pageBreakBefore w:val="0"/>
              <w:kinsoku/>
              <w:topLinePunct w:val="0"/>
              <w:autoSpaceDE/>
              <w:autoSpaceDN/>
              <w:bidi w:val="0"/>
              <w:spacing w:after="0" w:line="360" w:lineRule="auto"/>
              <w:jc w:val="center"/>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eastAsia="zh-CN"/>
              </w:rPr>
              <w:t>制造商</w:t>
            </w:r>
          </w:p>
        </w:tc>
        <w:tc>
          <w:tcPr>
            <w:tcW w:w="499" w:type="pct"/>
            <w:vAlign w:val="center"/>
          </w:tcPr>
          <w:p>
            <w:pPr>
              <w:pageBreakBefore w:val="0"/>
              <w:kinsoku/>
              <w:topLinePunct w:val="0"/>
              <w:autoSpaceDE/>
              <w:autoSpaceDN/>
              <w:bidi w:val="0"/>
              <w:spacing w:after="0" w:line="360" w:lineRule="auto"/>
              <w:jc w:val="center"/>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eastAsia="zh-CN"/>
              </w:rPr>
              <w:t>产地</w:t>
            </w: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数量</w:t>
            </w:r>
          </w:p>
        </w:tc>
        <w:tc>
          <w:tcPr>
            <w:tcW w:w="681"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单价</w:t>
            </w:r>
          </w:p>
        </w:tc>
        <w:tc>
          <w:tcPr>
            <w:tcW w:w="536"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730"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665"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681"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536"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730"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665"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681"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536"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730"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665"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681"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536"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730"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665"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681"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536"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730"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665"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681"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536"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730"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665"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499"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681"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c>
          <w:tcPr>
            <w:tcW w:w="536" w:type="pct"/>
            <w:vAlign w:val="center"/>
          </w:tcPr>
          <w:p>
            <w:pPr>
              <w:pageBreakBefore w:val="0"/>
              <w:kinsoku/>
              <w:topLinePunct w:val="0"/>
              <w:autoSpaceDE/>
              <w:autoSpaceDN/>
              <w:bidi w:val="0"/>
              <w:spacing w:after="0" w:line="360" w:lineRule="auto"/>
              <w:jc w:val="center"/>
              <w:rPr>
                <w:rFonts w:ascii="宋体" w:hAnsi="宋体" w:eastAsia="宋体" w:cs="Times New Roman"/>
                <w:color w:val="auto"/>
                <w:sz w:val="21"/>
                <w:szCs w:val="21"/>
                <w:highlight w:val="none"/>
              </w:rPr>
            </w:pPr>
          </w:p>
        </w:tc>
      </w:tr>
    </w:tbl>
    <w:p>
      <w:pPr>
        <w:pageBreakBefore w:val="0"/>
        <w:kinsoku/>
        <w:topLinePunct w:val="0"/>
        <w:autoSpaceDE/>
        <w:autoSpaceDN/>
        <w:bidi w:val="0"/>
        <w:spacing w:after="0" w:line="360" w:lineRule="auto"/>
        <w:rPr>
          <w:rFonts w:ascii="宋体" w:hAnsi="宋体" w:eastAsia="宋体" w:cs="Times New Roman"/>
          <w:color w:val="auto"/>
          <w:sz w:val="21"/>
          <w:szCs w:val="21"/>
          <w:highlight w:val="none"/>
        </w:rPr>
      </w:pPr>
    </w:p>
    <w:p>
      <w:pPr>
        <w:pageBreakBefore w:val="0"/>
        <w:kinsoku/>
        <w:topLinePunct w:val="0"/>
        <w:autoSpaceDE/>
        <w:autoSpaceDN/>
        <w:bidi w:val="0"/>
        <w:spacing w:line="360" w:lineRule="auto"/>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投标人代表签字：</w:t>
      </w:r>
    </w:p>
    <w:p>
      <w:pPr>
        <w:pageBreakBefore w:val="0"/>
        <w:kinsoku/>
        <w:topLinePunct w:val="0"/>
        <w:autoSpaceDE/>
        <w:autoSpaceDN/>
        <w:bidi w:val="0"/>
        <w:spacing w:line="360" w:lineRule="auto"/>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投标人盖章：</w:t>
      </w:r>
    </w:p>
    <w:p>
      <w:pPr>
        <w:pageBreakBefore w:val="0"/>
        <w:kinsoku/>
        <w:topLinePunct w:val="0"/>
        <w:autoSpaceDE/>
        <w:autoSpaceDN/>
        <w:bidi w:val="0"/>
        <w:spacing w:line="360" w:lineRule="auto"/>
        <w:rPr>
          <w:rFonts w:ascii="宋体" w:hAnsi="宋体" w:eastAsia="宋体" w:cs="Times New Roman"/>
          <w:color w:val="auto"/>
          <w:sz w:val="21"/>
          <w:szCs w:val="21"/>
          <w:highlight w:val="none"/>
        </w:rPr>
      </w:pPr>
    </w:p>
    <w:p>
      <w:pPr>
        <w:pageBreakBefore w:val="0"/>
        <w:kinsoku/>
        <w:topLinePunct w:val="0"/>
        <w:autoSpaceDE/>
        <w:autoSpaceDN/>
        <w:bidi w:val="0"/>
        <w:spacing w:line="360" w:lineRule="auto"/>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注：</w:t>
      </w:r>
    </w:p>
    <w:p>
      <w:pPr>
        <w:pStyle w:val="25"/>
        <w:pageBreakBefore w:val="0"/>
        <w:kinsoku/>
        <w:topLinePunct w:val="0"/>
        <w:autoSpaceDE/>
        <w:autoSpaceDN/>
        <w:bidi w:val="0"/>
        <w:spacing w:line="360" w:lineRule="auto"/>
        <w:ind w:firstLine="0" w:firstLineChars="0"/>
        <w:rPr>
          <w:rFonts w:ascii="宋体" w:hAnsi="宋体" w:eastAsia="宋体"/>
          <w:color w:val="auto"/>
          <w:sz w:val="21"/>
          <w:szCs w:val="21"/>
          <w:highlight w:val="none"/>
        </w:rPr>
      </w:pPr>
      <w:r>
        <w:rPr>
          <w:rFonts w:hint="eastAsia" w:ascii="宋体" w:hAnsi="宋体" w:eastAsia="宋体"/>
          <w:color w:val="auto"/>
          <w:sz w:val="21"/>
          <w:szCs w:val="21"/>
          <w:highlight w:val="none"/>
        </w:rPr>
        <w:t>1、投标人可按项目的实际需要提供本表格。</w:t>
      </w:r>
    </w:p>
    <w:p>
      <w:pPr>
        <w:pStyle w:val="25"/>
        <w:pageBreakBefore w:val="0"/>
        <w:kinsoku/>
        <w:topLinePunct w:val="0"/>
        <w:autoSpaceDE/>
        <w:autoSpaceDN/>
        <w:bidi w:val="0"/>
        <w:spacing w:line="360" w:lineRule="auto"/>
        <w:ind w:firstLine="0" w:firstLineChars="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2、该表格为参考格式，投标人可按实际情况自行制订。</w:t>
      </w:r>
    </w:p>
    <w:p>
      <w:pPr>
        <w:pStyle w:val="25"/>
        <w:pageBreakBefore w:val="0"/>
        <w:kinsoku/>
        <w:topLinePunct w:val="0"/>
        <w:autoSpaceDE/>
        <w:autoSpaceDN/>
        <w:bidi w:val="0"/>
        <w:spacing w:line="360" w:lineRule="auto"/>
        <w:ind w:firstLine="0" w:firstLineChars="0"/>
        <w:rPr>
          <w:rFonts w:ascii="宋体" w:hAnsi="宋体" w:eastAsia="宋体"/>
          <w:color w:val="auto"/>
          <w:sz w:val="21"/>
          <w:szCs w:val="21"/>
          <w:highlight w:val="none"/>
        </w:rPr>
      </w:pPr>
      <w:r>
        <w:rPr>
          <w:rFonts w:hint="eastAsia" w:ascii="宋体" w:hAnsi="宋体" w:eastAsia="宋体"/>
          <w:color w:val="auto"/>
          <w:sz w:val="21"/>
          <w:szCs w:val="21"/>
          <w:highlight w:val="none"/>
        </w:rPr>
        <w:t>3、如本项目不涉及此表内容，则无需提供此表。</w:t>
      </w:r>
      <w:r>
        <w:rPr>
          <w:rFonts w:hint="eastAsia" w:ascii="宋体" w:hAnsi="宋体" w:eastAsia="宋体"/>
          <w:color w:val="auto"/>
          <w:sz w:val="21"/>
          <w:szCs w:val="21"/>
          <w:highlight w:val="none"/>
        </w:rPr>
        <w:br w:type="page"/>
      </w:r>
    </w:p>
    <w:p>
      <w:pPr>
        <w:pStyle w:val="5"/>
        <w:pageBreakBefore w:val="0"/>
        <w:widowControl w:val="0"/>
        <w:kinsoku/>
        <w:overflowPunct w:val="0"/>
        <w:topLinePunct w:val="0"/>
        <w:autoSpaceDE/>
        <w:autoSpaceDN/>
        <w:bidi w:val="0"/>
        <w:spacing w:before="0" w:after="0" w:line="360" w:lineRule="auto"/>
        <w:rPr>
          <w:rFonts w:ascii="楷体_GB2312" w:eastAsia="楷体_GB2312"/>
          <w:color w:val="auto"/>
          <w:sz w:val="24"/>
          <w:highlight w:val="none"/>
        </w:rPr>
      </w:pPr>
      <w:bookmarkStart w:id="162" w:name="_Toc22034"/>
      <w:r>
        <w:rPr>
          <w:rFonts w:hint="eastAsia" w:ascii="宋体" w:hAnsi="宋体" w:eastAsia="宋体"/>
          <w:color w:val="auto"/>
          <w:sz w:val="21"/>
          <w:szCs w:val="21"/>
          <w:highlight w:val="none"/>
        </w:rPr>
        <w:t>附件17.在经营活动中没有重大违法记录的书面声明格式</w:t>
      </w:r>
      <w:bookmarkEnd w:id="162"/>
    </w:p>
    <w:p>
      <w:pPr>
        <w:pageBreakBefore w:val="0"/>
        <w:kinsoku/>
        <w:topLinePunct w:val="0"/>
        <w:autoSpaceDE/>
        <w:autoSpaceDN/>
        <w:bidi w:val="0"/>
        <w:spacing w:line="360" w:lineRule="auto"/>
        <w:rPr>
          <w:color w:val="auto"/>
          <w:highlight w:val="none"/>
        </w:rPr>
      </w:pPr>
    </w:p>
    <w:p>
      <w:pPr>
        <w:pageBreakBefore w:val="0"/>
        <w:kinsoku/>
        <w:topLinePunct w:val="0"/>
        <w:autoSpaceDE/>
        <w:autoSpaceDN/>
        <w:bidi w:val="0"/>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投标人在经营活动中没有重大违法记录的书面声明</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三方诚信招标有限公司东莞分公司：</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我公司郑重承诺：在参加“</w:t>
      </w:r>
      <w:r>
        <w:rPr>
          <w:rFonts w:hint="eastAsia" w:ascii="宋体" w:hAnsi="宋体" w:eastAsia="宋体" w:cs="宋体"/>
          <w:color w:val="auto"/>
          <w:sz w:val="21"/>
          <w:szCs w:val="21"/>
          <w:highlight w:val="none"/>
          <w:u w:val="single"/>
        </w:rPr>
        <w:t xml:space="preserve">       （采购项目名称）</w:t>
      </w:r>
      <w:r>
        <w:rPr>
          <w:rFonts w:hint="eastAsia" w:ascii="宋体" w:hAnsi="宋体" w:eastAsia="宋体" w:cs="宋体"/>
          <w:color w:val="auto"/>
          <w:sz w:val="21"/>
          <w:szCs w:val="21"/>
          <w:highlight w:val="none"/>
        </w:rPr>
        <w:t>” （项目编号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政府采购活动前三年内（设立不满三年的从设立之日计算），在经营活动中没有重大违法记录；至本项目提交投标文件截止时间止未被列入“信用中国”网站及“中国政府采购网”失信被执行人、重大税收违法案件当事人名单、政府采购严重违法失信行为记录名单。</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我公司以上承诺均为真实有效，绝无任何虚假、伪造的成份，否则，愿承担相应的后果和法律责任。</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p>
    <w:p>
      <w:pPr>
        <w:pageBreakBefore w:val="0"/>
        <w:kinsoku/>
        <w:topLinePunct w:val="0"/>
        <w:autoSpaceDE/>
        <w:autoSpaceDN/>
        <w:bidi w:val="0"/>
        <w:spacing w:after="0" w:line="360" w:lineRule="auto"/>
        <w:rPr>
          <w:rFonts w:ascii="宋体" w:hAnsi="宋体" w:eastAsia="宋体" w:cs="宋体"/>
          <w:color w:val="auto"/>
          <w:sz w:val="21"/>
          <w:szCs w:val="21"/>
          <w:highlight w:val="none"/>
        </w:rPr>
      </w:pP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投标人名称（盖章）：</w:t>
      </w:r>
    </w:p>
    <w:p>
      <w:pPr>
        <w:pageBreakBefore w:val="0"/>
        <w:kinsoku/>
        <w:topLinePunct w:val="0"/>
        <w:autoSpaceDE/>
        <w:autoSpaceDN/>
        <w:bidi w:val="0"/>
        <w:spacing w:after="0" w:line="360" w:lineRule="auto"/>
        <w:rPr>
          <w:rFonts w:ascii="宋体" w:hAnsi="宋体" w:eastAsia="宋体" w:cs="宋体"/>
          <w:color w:val="auto"/>
          <w:sz w:val="21"/>
          <w:szCs w:val="21"/>
          <w:highlight w:val="none"/>
        </w:rPr>
      </w:pP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pPr>
        <w:pageBreakBefore w:val="0"/>
        <w:kinsoku/>
        <w:topLinePunct w:val="0"/>
        <w:autoSpaceDE/>
        <w:autoSpaceDN/>
        <w:bidi w:val="0"/>
        <w:adjustRightInd/>
        <w:snapToGrid/>
        <w:spacing w:line="360" w:lineRule="auto"/>
        <w:rPr>
          <w:rFonts w:ascii="楷体_GB2312" w:eastAsia="楷体_GB2312" w:hAnsiTheme="majorHAnsi" w:cstheme="majorBidi"/>
          <w:b/>
          <w:bCs/>
          <w:color w:val="auto"/>
          <w:sz w:val="24"/>
          <w:szCs w:val="28"/>
          <w:highlight w:val="none"/>
        </w:rPr>
      </w:pPr>
      <w:bookmarkStart w:id="163" w:name="_Toc417907703"/>
      <w:r>
        <w:rPr>
          <w:rFonts w:ascii="楷体_GB2312" w:eastAsia="楷体_GB2312"/>
          <w:color w:val="auto"/>
          <w:sz w:val="24"/>
          <w:highlight w:val="none"/>
        </w:rPr>
        <w:br w:type="page"/>
      </w:r>
    </w:p>
    <w:bookmarkEnd w:id="163"/>
    <w:p>
      <w:pPr>
        <w:pStyle w:val="5"/>
        <w:pageBreakBefore w:val="0"/>
        <w:widowControl w:val="0"/>
        <w:kinsoku/>
        <w:overflowPunct w:val="0"/>
        <w:topLinePunct w:val="0"/>
        <w:autoSpaceDE/>
        <w:autoSpaceDN/>
        <w:bidi w:val="0"/>
        <w:spacing w:before="0" w:after="0" w:line="360" w:lineRule="auto"/>
        <w:rPr>
          <w:color w:val="auto"/>
          <w:highlight w:val="none"/>
        </w:rPr>
      </w:pPr>
      <w:bookmarkStart w:id="164" w:name="_Toc3843"/>
      <w:r>
        <w:rPr>
          <w:rFonts w:hint="eastAsia" w:ascii="宋体" w:hAnsi="宋体" w:eastAsia="宋体"/>
          <w:color w:val="auto"/>
          <w:sz w:val="21"/>
          <w:szCs w:val="21"/>
          <w:highlight w:val="none"/>
        </w:rPr>
        <w:t>附件</w:t>
      </w:r>
      <w:r>
        <w:rPr>
          <w:rFonts w:hint="eastAsia" w:ascii="宋体" w:hAnsi="宋体" w:eastAsia="宋体"/>
          <w:color w:val="auto"/>
          <w:sz w:val="21"/>
          <w:szCs w:val="21"/>
          <w:highlight w:val="none"/>
          <w:lang w:val="en-US" w:eastAsia="zh-CN"/>
        </w:rPr>
        <w:t>18</w:t>
      </w:r>
      <w:r>
        <w:rPr>
          <w:rFonts w:hint="eastAsia" w:ascii="宋体" w:hAnsi="宋体" w:eastAsia="宋体"/>
          <w:color w:val="auto"/>
          <w:sz w:val="21"/>
          <w:szCs w:val="21"/>
          <w:highlight w:val="none"/>
        </w:rPr>
        <w:t>. 投标保证金汇入情况说明格式</w:t>
      </w:r>
      <w:bookmarkEnd w:id="164"/>
    </w:p>
    <w:p>
      <w:pPr>
        <w:pageBreakBefore w:val="0"/>
        <w:kinsoku/>
        <w:topLinePunct w:val="0"/>
        <w:autoSpaceDE/>
        <w:autoSpaceDN/>
        <w:bidi w:val="0"/>
        <w:spacing w:line="360" w:lineRule="auto"/>
        <w:rPr>
          <w:color w:val="auto"/>
          <w:highlight w:val="none"/>
        </w:rPr>
      </w:pPr>
    </w:p>
    <w:p>
      <w:pPr>
        <w:pageBreakBefore w:val="0"/>
        <w:kinsoku/>
        <w:topLinePunct w:val="0"/>
        <w:autoSpaceDE/>
        <w:autoSpaceDN/>
        <w:bidi w:val="0"/>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投标保证金汇入情况说明</w:t>
      </w:r>
    </w:p>
    <w:p>
      <w:pPr>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致：三方诚信招标有限公司东莞分公司：</w:t>
      </w: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本单位已按</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项目</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包（采购项目编号：</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）的招标文件要求，于</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年</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日前以</w:t>
      </w:r>
      <w:r>
        <w:rPr>
          <w:rFonts w:hint="eastAsia" w:ascii="宋体" w:hAnsi="宋体" w:eastAsia="宋体"/>
          <w:color w:val="auto"/>
          <w:sz w:val="21"/>
          <w:szCs w:val="21"/>
          <w:highlight w:val="none"/>
          <w:u w:val="single"/>
        </w:rPr>
        <w:t xml:space="preserve">           （付款形式）</w:t>
      </w:r>
      <w:r>
        <w:rPr>
          <w:rFonts w:hint="eastAsia" w:ascii="宋体" w:hAnsi="宋体" w:eastAsia="宋体"/>
          <w:color w:val="auto"/>
          <w:sz w:val="21"/>
          <w:szCs w:val="21"/>
          <w:highlight w:val="none"/>
        </w:rPr>
        <w:t>方式汇入指定</w:t>
      </w:r>
      <w:r>
        <w:rPr>
          <w:rFonts w:hint="eastAsia" w:ascii="宋体" w:hAnsi="宋体" w:eastAsia="宋体"/>
          <w:color w:val="auto"/>
          <w:sz w:val="21"/>
          <w:szCs w:val="21"/>
          <w:highlight w:val="none"/>
          <w:lang w:eastAsia="zh-CN"/>
        </w:rPr>
        <w:t>账</w:t>
      </w:r>
      <w:r>
        <w:rPr>
          <w:rFonts w:hint="eastAsia" w:ascii="宋体" w:hAnsi="宋体" w:eastAsia="宋体"/>
          <w:color w:val="auto"/>
          <w:sz w:val="21"/>
          <w:szCs w:val="21"/>
          <w:highlight w:val="none"/>
        </w:rPr>
        <w:t>户（</w:t>
      </w:r>
      <w:r>
        <w:rPr>
          <w:rFonts w:hint="eastAsia" w:ascii="宋体" w:hAnsi="宋体" w:eastAsia="宋体"/>
          <w:color w:val="auto"/>
          <w:sz w:val="21"/>
          <w:szCs w:val="21"/>
          <w:highlight w:val="none"/>
          <w:lang w:eastAsia="zh-CN"/>
        </w:rPr>
        <w:t>账</w:t>
      </w:r>
      <w:r>
        <w:rPr>
          <w:rFonts w:hint="eastAsia" w:ascii="宋体" w:hAnsi="宋体" w:eastAsia="宋体"/>
          <w:color w:val="auto"/>
          <w:sz w:val="21"/>
          <w:szCs w:val="21"/>
          <w:highlight w:val="none"/>
        </w:rPr>
        <w:t>户名称：</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w:t>
      </w:r>
      <w:r>
        <w:rPr>
          <w:rFonts w:hint="eastAsia" w:ascii="宋体" w:hAnsi="宋体" w:eastAsia="宋体"/>
          <w:color w:val="auto"/>
          <w:sz w:val="21"/>
          <w:szCs w:val="21"/>
          <w:highlight w:val="none"/>
          <w:lang w:eastAsia="zh-CN"/>
        </w:rPr>
        <w:t>账号</w:t>
      </w:r>
      <w:r>
        <w:rPr>
          <w:rFonts w:hint="eastAsia" w:ascii="宋体" w:hAnsi="宋体" w:eastAsia="宋体"/>
          <w:color w:val="auto"/>
          <w:sz w:val="21"/>
          <w:szCs w:val="21"/>
          <w:highlight w:val="none"/>
        </w:rPr>
        <w:t>：</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 xml:space="preserve"> ,开户银行：</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w:t>
      </w: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本单位投标保证金的汇款情况：（详见附件－投标保证金进</w:t>
      </w:r>
      <w:r>
        <w:rPr>
          <w:rFonts w:hint="eastAsia" w:ascii="宋体" w:hAnsi="宋体" w:eastAsia="宋体"/>
          <w:color w:val="auto"/>
          <w:sz w:val="21"/>
          <w:szCs w:val="21"/>
          <w:highlight w:val="none"/>
          <w:lang w:eastAsia="zh-CN"/>
        </w:rPr>
        <w:t>账</w:t>
      </w:r>
      <w:r>
        <w:rPr>
          <w:rFonts w:hint="eastAsia" w:ascii="宋体" w:hAnsi="宋体" w:eastAsia="宋体"/>
          <w:color w:val="auto"/>
          <w:sz w:val="21"/>
          <w:szCs w:val="21"/>
          <w:highlight w:val="none"/>
        </w:rPr>
        <w:t>单）</w:t>
      </w: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汇出时间：</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年</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日；</w:t>
      </w: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汇款金额：（大写）人民币</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元（小写：￥</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元），</w:t>
      </w: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汇款</w:t>
      </w:r>
      <w:r>
        <w:rPr>
          <w:rFonts w:hint="eastAsia" w:ascii="宋体" w:hAnsi="宋体" w:eastAsia="宋体"/>
          <w:color w:val="auto"/>
          <w:sz w:val="21"/>
          <w:szCs w:val="21"/>
          <w:highlight w:val="none"/>
          <w:lang w:eastAsia="zh-CN"/>
        </w:rPr>
        <w:t>账户</w:t>
      </w:r>
      <w:r>
        <w:rPr>
          <w:rFonts w:hint="eastAsia" w:ascii="宋体" w:hAnsi="宋体" w:eastAsia="宋体"/>
          <w:color w:val="auto"/>
          <w:sz w:val="21"/>
          <w:szCs w:val="21"/>
          <w:highlight w:val="none"/>
        </w:rPr>
        <w:t>名称：</w:t>
      </w:r>
      <w:r>
        <w:rPr>
          <w:rFonts w:hint="eastAsia" w:ascii="宋体" w:hAnsi="宋体" w:eastAsia="宋体"/>
          <w:color w:val="auto"/>
          <w:sz w:val="21"/>
          <w:szCs w:val="21"/>
          <w:highlight w:val="none"/>
          <w:u w:val="single"/>
        </w:rPr>
        <w:t xml:space="preserve">  （必须是投标时使用的</w:t>
      </w:r>
      <w:r>
        <w:rPr>
          <w:rFonts w:hint="eastAsia" w:ascii="宋体" w:hAnsi="宋体" w:eastAsia="宋体"/>
          <w:color w:val="auto"/>
          <w:sz w:val="21"/>
          <w:szCs w:val="21"/>
          <w:highlight w:val="none"/>
          <w:u w:val="single"/>
          <w:lang w:eastAsia="zh-CN"/>
        </w:rPr>
        <w:t>账</w:t>
      </w:r>
      <w:r>
        <w:rPr>
          <w:rFonts w:hint="eastAsia" w:ascii="宋体" w:hAnsi="宋体" w:eastAsia="宋体"/>
          <w:color w:val="auto"/>
          <w:sz w:val="21"/>
          <w:szCs w:val="21"/>
          <w:highlight w:val="none"/>
          <w:u w:val="single"/>
        </w:rPr>
        <w:t xml:space="preserve">户名）   </w:t>
      </w: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账</w:t>
      </w:r>
      <w:r>
        <w:rPr>
          <w:rFonts w:hint="eastAsia" w:ascii="宋体" w:hAnsi="宋体" w:eastAsia="宋体"/>
          <w:color w:val="auto"/>
          <w:sz w:val="21"/>
          <w:szCs w:val="21"/>
          <w:highlight w:val="none"/>
        </w:rPr>
        <w:t xml:space="preserve">        号：</w:t>
      </w:r>
      <w:r>
        <w:rPr>
          <w:rFonts w:hint="eastAsia" w:ascii="宋体" w:hAnsi="宋体" w:eastAsia="宋体"/>
          <w:color w:val="auto"/>
          <w:sz w:val="21"/>
          <w:szCs w:val="21"/>
          <w:highlight w:val="none"/>
          <w:u w:val="single"/>
        </w:rPr>
        <w:t xml:space="preserve">  （必须是投标时使用的</w:t>
      </w:r>
      <w:r>
        <w:rPr>
          <w:rFonts w:hint="eastAsia" w:ascii="宋体" w:hAnsi="宋体" w:eastAsia="宋体"/>
          <w:color w:val="auto"/>
          <w:sz w:val="21"/>
          <w:szCs w:val="21"/>
          <w:highlight w:val="none"/>
          <w:u w:val="single"/>
          <w:lang w:eastAsia="zh-CN"/>
        </w:rPr>
        <w:t>账号</w:t>
      </w:r>
      <w:r>
        <w:rPr>
          <w:rFonts w:hint="eastAsia" w:ascii="宋体" w:hAnsi="宋体" w:eastAsia="宋体"/>
          <w:color w:val="auto"/>
          <w:sz w:val="21"/>
          <w:szCs w:val="21"/>
          <w:highlight w:val="none"/>
          <w:u w:val="single"/>
        </w:rPr>
        <w:t xml:space="preserve">）     </w:t>
      </w: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u w:val="single"/>
        </w:rPr>
      </w:pPr>
      <w:r>
        <w:rPr>
          <w:rFonts w:hint="eastAsia" w:ascii="宋体" w:hAnsi="宋体" w:eastAsia="宋体"/>
          <w:color w:val="auto"/>
          <w:sz w:val="21"/>
          <w:szCs w:val="21"/>
          <w:highlight w:val="none"/>
        </w:rPr>
        <w:t>开 户  银 行：</w:t>
      </w:r>
      <w:r>
        <w:rPr>
          <w:rFonts w:hint="eastAsia" w:ascii="宋体" w:hAnsi="宋体" w:eastAsia="宋体"/>
          <w:color w:val="auto"/>
          <w:sz w:val="21"/>
          <w:szCs w:val="21"/>
          <w:highlight w:val="none"/>
          <w:u w:val="single"/>
        </w:rPr>
        <w:t xml:space="preserve">  （      银行   分行  支行    ）</w:t>
      </w: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本单位谨承诺上述资料是正确、真实的，如因上述证明与事实不符导致的一切损失，本单位保证承担赔偿等一切法律责任。</w:t>
      </w: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投标保证金退回时，请按上述资料退回。</w:t>
      </w:r>
    </w:p>
    <w:p>
      <w:pPr>
        <w:pageBreakBefore w:val="0"/>
        <w:kinsoku/>
        <w:topLinePunct w:val="0"/>
        <w:autoSpaceDE/>
        <w:autoSpaceDN/>
        <w:bidi w:val="0"/>
        <w:spacing w:after="0" w:line="360" w:lineRule="auto"/>
        <w:ind w:right="884" w:rightChars="402"/>
        <w:jc w:val="right"/>
        <w:rPr>
          <w:rFonts w:ascii="宋体" w:hAnsi="宋体" w:eastAsia="宋体"/>
          <w:color w:val="auto"/>
          <w:sz w:val="21"/>
          <w:szCs w:val="21"/>
          <w:highlight w:val="none"/>
        </w:rPr>
      </w:pPr>
      <w:r>
        <w:rPr>
          <w:rFonts w:hint="eastAsia" w:ascii="宋体" w:hAnsi="宋体" w:eastAsia="宋体"/>
          <w:color w:val="auto"/>
          <w:sz w:val="21"/>
          <w:szCs w:val="21"/>
          <w:highlight w:val="none"/>
        </w:rPr>
        <w:t>（单位公章）</w:t>
      </w:r>
    </w:p>
    <w:p>
      <w:pPr>
        <w:pageBreakBefore w:val="0"/>
        <w:kinsoku/>
        <w:topLinePunct w:val="0"/>
        <w:autoSpaceDE/>
        <w:autoSpaceDN/>
        <w:bidi w:val="0"/>
        <w:spacing w:after="0" w:line="360" w:lineRule="auto"/>
        <w:ind w:right="658" w:rightChars="299"/>
        <w:jc w:val="right"/>
        <w:rPr>
          <w:rFonts w:ascii="宋体" w:hAnsi="宋体" w:eastAsia="宋体"/>
          <w:color w:val="auto"/>
          <w:sz w:val="21"/>
          <w:szCs w:val="21"/>
          <w:highlight w:val="none"/>
        </w:rPr>
      </w:pPr>
      <w:r>
        <w:rPr>
          <w:rFonts w:hint="eastAsia" w:ascii="宋体" w:hAnsi="宋体" w:eastAsia="宋体"/>
          <w:color w:val="auto"/>
          <w:sz w:val="21"/>
          <w:szCs w:val="21"/>
          <w:highlight w:val="none"/>
        </w:rPr>
        <w:t>年 月 日</w:t>
      </w:r>
    </w:p>
    <w:p>
      <w:pPr>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单位名称：</w:t>
      </w:r>
      <w:r>
        <w:rPr>
          <w:rFonts w:hint="eastAsia" w:ascii="宋体" w:hAnsi="宋体" w:eastAsia="宋体"/>
          <w:color w:val="auto"/>
          <w:sz w:val="21"/>
          <w:szCs w:val="21"/>
          <w:highlight w:val="none"/>
          <w:u w:val="single"/>
        </w:rPr>
        <w:t xml:space="preserve">           </w:t>
      </w:r>
    </w:p>
    <w:p>
      <w:pPr>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单位地址：</w:t>
      </w:r>
      <w:r>
        <w:rPr>
          <w:rFonts w:hint="eastAsia" w:ascii="宋体" w:hAnsi="宋体" w:eastAsia="宋体"/>
          <w:color w:val="auto"/>
          <w:sz w:val="21"/>
          <w:szCs w:val="21"/>
          <w:highlight w:val="none"/>
          <w:u w:val="single"/>
        </w:rPr>
        <w:t xml:space="preserve">           </w:t>
      </w:r>
    </w:p>
    <w:p>
      <w:pPr>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联系人：</w:t>
      </w:r>
      <w:r>
        <w:rPr>
          <w:rFonts w:hint="eastAsia" w:ascii="宋体" w:hAnsi="宋体" w:eastAsia="宋体"/>
          <w:color w:val="auto"/>
          <w:sz w:val="21"/>
          <w:szCs w:val="21"/>
          <w:highlight w:val="none"/>
          <w:u w:val="single"/>
        </w:rPr>
        <w:t xml:space="preserve">                   </w:t>
      </w:r>
    </w:p>
    <w:p>
      <w:pPr>
        <w:pageBreakBefore w:val="0"/>
        <w:kinsoku/>
        <w:topLinePunct w:val="0"/>
        <w:autoSpaceDE/>
        <w:autoSpaceDN/>
        <w:bidi w:val="0"/>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单位电话：</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 xml:space="preserve"> 联系人手机：</w:t>
      </w:r>
      <w:r>
        <w:rPr>
          <w:rFonts w:hint="eastAsia" w:ascii="宋体" w:hAnsi="宋体" w:eastAsia="宋体"/>
          <w:color w:val="auto"/>
          <w:sz w:val="21"/>
          <w:szCs w:val="21"/>
          <w:highlight w:val="none"/>
          <w:u w:val="single"/>
        </w:rPr>
        <w:t xml:space="preserve">              </w:t>
      </w:r>
    </w:p>
    <w:p>
      <w:pPr>
        <w:pageBreakBefore w:val="0"/>
        <w:kinsoku/>
        <w:topLinePunct w:val="0"/>
        <w:autoSpaceDE/>
        <w:autoSpaceDN/>
        <w:bidi w:val="0"/>
        <w:spacing w:after="0" w:line="360" w:lineRule="auto"/>
        <w:rPr>
          <w:rFonts w:ascii="宋体" w:hAnsi="宋体" w:eastAsia="宋体"/>
          <w:color w:val="auto"/>
          <w:sz w:val="21"/>
          <w:szCs w:val="21"/>
          <w:highlight w:val="none"/>
        </w:rPr>
      </w:pP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附：我方投标保证金汇款凭证</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9" w:hRule="atLeast"/>
        </w:trPr>
        <w:tc>
          <w:tcPr>
            <w:tcW w:w="5000" w:type="pct"/>
            <w:vAlign w:val="center"/>
          </w:tcPr>
          <w:p>
            <w:pPr>
              <w:pageBreakBefore w:val="0"/>
              <w:tabs>
                <w:tab w:val="left" w:pos="3885"/>
              </w:tabs>
              <w:kinsoku/>
              <w:topLinePunct w:val="0"/>
              <w:autoSpaceDE/>
              <w:autoSpaceDN/>
              <w:bidi w:val="0"/>
              <w:spacing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（粘贴汇款单或转账</w:t>
            </w:r>
            <w:r>
              <w:rPr>
                <w:rFonts w:ascii="宋体" w:hAnsi="宋体" w:eastAsia="宋体"/>
                <w:color w:val="auto"/>
                <w:sz w:val="21"/>
                <w:szCs w:val="21"/>
                <w:highlight w:val="none"/>
              </w:rPr>
              <w:t>凭证</w:t>
            </w:r>
            <w:r>
              <w:rPr>
                <w:rFonts w:hint="eastAsia" w:ascii="宋体" w:hAnsi="宋体" w:eastAsia="宋体"/>
                <w:color w:val="auto"/>
                <w:sz w:val="21"/>
                <w:szCs w:val="21"/>
                <w:highlight w:val="none"/>
              </w:rPr>
              <w:t>复印件，并在骑缝上加盖投标人公章，或是直接把转账</w:t>
            </w:r>
            <w:r>
              <w:rPr>
                <w:rFonts w:ascii="宋体" w:hAnsi="宋体" w:eastAsia="宋体"/>
                <w:color w:val="auto"/>
                <w:sz w:val="21"/>
                <w:szCs w:val="21"/>
                <w:highlight w:val="none"/>
              </w:rPr>
              <w:t>凭证</w:t>
            </w:r>
            <w:r>
              <w:rPr>
                <w:rFonts w:hint="eastAsia" w:ascii="宋体" w:hAnsi="宋体" w:eastAsia="宋体"/>
                <w:color w:val="auto"/>
                <w:sz w:val="21"/>
                <w:szCs w:val="21"/>
                <w:highlight w:val="none"/>
              </w:rPr>
              <w:t>复印到此张纸上）</w:t>
            </w:r>
          </w:p>
        </w:tc>
      </w:tr>
    </w:tbl>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注：此表既要装订在投标文件中，又要按投标人须知的规定与开标一览表、投标保证金汇款底单复印件及授权委托书一同密封装入开标文件，开标文件单独提交。</w:t>
      </w:r>
    </w:p>
    <w:p>
      <w:pPr>
        <w:pageBreakBefore w:val="0"/>
        <w:kinsoku/>
        <w:topLinePunct w:val="0"/>
        <w:autoSpaceDE/>
        <w:autoSpaceDN/>
        <w:bidi w:val="0"/>
        <w:spacing w:line="360" w:lineRule="auto"/>
        <w:rPr>
          <w:rFonts w:ascii="宋体" w:hAnsi="宋体" w:eastAsia="宋体"/>
          <w:color w:val="auto"/>
          <w:sz w:val="21"/>
          <w:szCs w:val="21"/>
          <w:highlight w:val="none"/>
        </w:rPr>
      </w:pPr>
    </w:p>
    <w:p>
      <w:pPr>
        <w:pageBreakBefore w:val="0"/>
        <w:kinsoku/>
        <w:topLinePunct w:val="0"/>
        <w:autoSpaceDE/>
        <w:autoSpaceDN/>
        <w:bidi w:val="0"/>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Style w:val="3"/>
        <w:pageBreakBefore w:val="0"/>
        <w:kinsoku/>
        <w:topLinePunct w:val="0"/>
        <w:autoSpaceDE/>
        <w:autoSpaceDN/>
        <w:bidi w:val="0"/>
        <w:spacing w:before="0" w:after="0" w:line="360" w:lineRule="auto"/>
        <w:rPr>
          <w:rFonts w:hint="eastAsia" w:ascii="宋体" w:hAnsi="宋体" w:eastAsia="宋体"/>
          <w:color w:val="auto"/>
          <w:sz w:val="21"/>
          <w:szCs w:val="21"/>
          <w:highlight w:val="none"/>
        </w:rPr>
      </w:pPr>
      <w:bookmarkStart w:id="165" w:name="_Toc21744"/>
      <w:r>
        <w:rPr>
          <w:rFonts w:hint="eastAsia"/>
          <w:color w:val="auto"/>
          <w:sz w:val="28"/>
          <w:szCs w:val="28"/>
          <w:highlight w:val="none"/>
          <w:lang w:val="en-US" w:eastAsia="zh-CN"/>
        </w:rPr>
        <w:t>第七部分 附件-开标文件格式</w:t>
      </w:r>
      <w:bookmarkEnd w:id="165"/>
    </w:p>
    <w:p>
      <w:pPr>
        <w:pageBreakBefore w:val="0"/>
        <w:widowControl w:val="0"/>
        <w:kinsoku/>
        <w:overflowPunct w:val="0"/>
        <w:topLinePunct w:val="0"/>
        <w:autoSpaceDE/>
        <w:autoSpaceDN/>
        <w:bidi w:val="0"/>
        <w:spacing w:before="0" w:after="0" w:line="360" w:lineRule="auto"/>
        <w:outlineLvl w:val="9"/>
        <w:rPr>
          <w:rFonts w:hint="eastAsia" w:ascii="宋体" w:hAnsi="宋体" w:eastAsia="宋体"/>
          <w:color w:val="auto"/>
          <w:sz w:val="21"/>
          <w:szCs w:val="21"/>
          <w:highlight w:val="none"/>
        </w:rPr>
      </w:pPr>
      <w:bookmarkStart w:id="166" w:name="_Toc16536"/>
    </w:p>
    <w:p>
      <w:pPr>
        <w:pStyle w:val="5"/>
        <w:keepNext/>
        <w:keepLines/>
        <w:pageBreakBefore w:val="0"/>
        <w:widowControl w:val="0"/>
        <w:kinsoku/>
        <w:wordWrap/>
        <w:overflowPunct w:val="0"/>
        <w:topLinePunct w:val="0"/>
        <w:autoSpaceDE/>
        <w:autoSpaceDN/>
        <w:bidi w:val="0"/>
        <w:adjustRightInd w:val="0"/>
        <w:snapToGrid w:val="0"/>
        <w:spacing w:before="0" w:after="0" w:line="480" w:lineRule="auto"/>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附件</w:t>
      </w:r>
      <w:r>
        <w:rPr>
          <w:rFonts w:hint="eastAsia" w:ascii="宋体" w:hAnsi="宋体" w:eastAsia="宋体"/>
          <w:color w:val="auto"/>
          <w:sz w:val="21"/>
          <w:szCs w:val="21"/>
          <w:highlight w:val="none"/>
          <w:lang w:val="en-US" w:eastAsia="zh-CN"/>
        </w:rPr>
        <w:t>1</w:t>
      </w:r>
      <w:r>
        <w:rPr>
          <w:rFonts w:hint="eastAsia" w:ascii="宋体" w:hAnsi="宋体" w:eastAsia="宋体"/>
          <w:color w:val="auto"/>
          <w:sz w:val="21"/>
          <w:szCs w:val="21"/>
          <w:highlight w:val="none"/>
        </w:rPr>
        <w:t>.开标一览表格式</w:t>
      </w:r>
      <w:bookmarkEnd w:id="166"/>
    </w:p>
    <w:p>
      <w:pPr>
        <w:pStyle w:val="5"/>
        <w:keepNext/>
        <w:keepLines/>
        <w:pageBreakBefore w:val="0"/>
        <w:widowControl w:val="0"/>
        <w:kinsoku/>
        <w:wordWrap/>
        <w:overflowPunct w:val="0"/>
        <w:topLinePunct w:val="0"/>
        <w:autoSpaceDE/>
        <w:autoSpaceDN/>
        <w:bidi w:val="0"/>
        <w:adjustRightInd w:val="0"/>
        <w:snapToGrid w:val="0"/>
        <w:spacing w:before="0" w:after="0" w:line="480" w:lineRule="auto"/>
        <w:textAlignment w:val="auto"/>
        <w:rPr>
          <w:rFonts w:ascii="宋体" w:hAnsi="宋体" w:eastAsia="宋体"/>
          <w:color w:val="auto"/>
          <w:sz w:val="21"/>
          <w:szCs w:val="21"/>
          <w:highlight w:val="none"/>
        </w:rPr>
      </w:pPr>
      <w:bookmarkStart w:id="167" w:name="_Toc22082"/>
      <w:r>
        <w:rPr>
          <w:rFonts w:hint="eastAsia" w:ascii="宋体" w:hAnsi="宋体" w:eastAsia="宋体"/>
          <w:color w:val="auto"/>
          <w:sz w:val="21"/>
          <w:szCs w:val="21"/>
          <w:highlight w:val="none"/>
        </w:rPr>
        <w:t>附件</w:t>
      </w:r>
      <w:r>
        <w:rPr>
          <w:rFonts w:hint="eastAsia" w:ascii="宋体" w:hAnsi="宋体" w:eastAsia="宋体"/>
          <w:color w:val="auto"/>
          <w:sz w:val="21"/>
          <w:szCs w:val="21"/>
          <w:highlight w:val="none"/>
          <w:lang w:val="en-US" w:eastAsia="zh-CN"/>
        </w:rPr>
        <w:t>2</w:t>
      </w:r>
      <w:r>
        <w:rPr>
          <w:rFonts w:hint="eastAsia" w:ascii="宋体" w:hAnsi="宋体" w:eastAsia="宋体"/>
          <w:color w:val="auto"/>
          <w:sz w:val="21"/>
          <w:szCs w:val="21"/>
          <w:highlight w:val="none"/>
        </w:rPr>
        <w:t>.法定代表人证明书格式</w:t>
      </w:r>
      <w:bookmarkEnd w:id="167"/>
    </w:p>
    <w:p>
      <w:pPr>
        <w:pStyle w:val="5"/>
        <w:keepNext/>
        <w:keepLines/>
        <w:pageBreakBefore w:val="0"/>
        <w:widowControl w:val="0"/>
        <w:kinsoku/>
        <w:wordWrap/>
        <w:overflowPunct w:val="0"/>
        <w:topLinePunct w:val="0"/>
        <w:autoSpaceDE/>
        <w:autoSpaceDN/>
        <w:bidi w:val="0"/>
        <w:adjustRightInd w:val="0"/>
        <w:snapToGrid w:val="0"/>
        <w:spacing w:before="0" w:after="0" w:line="480" w:lineRule="auto"/>
        <w:textAlignment w:val="auto"/>
        <w:rPr>
          <w:color w:val="auto"/>
          <w:highlight w:val="none"/>
        </w:rPr>
      </w:pPr>
      <w:bookmarkStart w:id="168" w:name="_Toc6287"/>
      <w:r>
        <w:rPr>
          <w:rFonts w:hint="eastAsia" w:ascii="宋体" w:hAnsi="宋体" w:eastAsia="宋体"/>
          <w:color w:val="auto"/>
          <w:sz w:val="21"/>
          <w:szCs w:val="21"/>
          <w:highlight w:val="none"/>
        </w:rPr>
        <w:t>附件</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.法定代表人授权书格式</w:t>
      </w:r>
      <w:bookmarkEnd w:id="168"/>
    </w:p>
    <w:p>
      <w:pPr>
        <w:pStyle w:val="5"/>
        <w:keepNext/>
        <w:keepLines/>
        <w:pageBreakBefore w:val="0"/>
        <w:widowControl w:val="0"/>
        <w:kinsoku/>
        <w:wordWrap/>
        <w:overflowPunct w:val="0"/>
        <w:topLinePunct w:val="0"/>
        <w:autoSpaceDE/>
        <w:autoSpaceDN/>
        <w:bidi w:val="0"/>
        <w:adjustRightInd w:val="0"/>
        <w:snapToGrid w:val="0"/>
        <w:spacing w:before="0" w:after="0" w:line="480" w:lineRule="auto"/>
        <w:textAlignment w:val="auto"/>
        <w:rPr>
          <w:color w:val="auto"/>
          <w:highlight w:val="none"/>
        </w:rPr>
      </w:pPr>
      <w:bookmarkStart w:id="169" w:name="_Toc24631"/>
      <w:r>
        <w:rPr>
          <w:rFonts w:hint="eastAsia" w:ascii="宋体" w:hAnsi="宋体" w:eastAsia="宋体"/>
          <w:color w:val="auto"/>
          <w:sz w:val="21"/>
          <w:szCs w:val="21"/>
          <w:highlight w:val="none"/>
        </w:rPr>
        <w:t>附件</w:t>
      </w:r>
      <w:r>
        <w:rPr>
          <w:rFonts w:hint="eastAsia" w:ascii="宋体" w:hAnsi="宋体" w:eastAsia="宋体"/>
          <w:color w:val="auto"/>
          <w:sz w:val="21"/>
          <w:szCs w:val="21"/>
          <w:highlight w:val="none"/>
          <w:lang w:val="en-US" w:eastAsia="zh-CN"/>
        </w:rPr>
        <w:t>4</w:t>
      </w:r>
      <w:r>
        <w:rPr>
          <w:rFonts w:hint="eastAsia" w:ascii="宋体" w:hAnsi="宋体" w:eastAsia="宋体"/>
          <w:color w:val="auto"/>
          <w:sz w:val="21"/>
          <w:szCs w:val="21"/>
          <w:highlight w:val="none"/>
        </w:rPr>
        <w:t>.投标保证金汇入情况说明格式</w:t>
      </w:r>
      <w:bookmarkEnd w:id="169"/>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leftChars="0" w:firstLine="420" w:firstLineChars="200"/>
        <w:jc w:val="both"/>
        <w:textAlignment w:val="auto"/>
        <w:rPr>
          <w:rFonts w:hint="eastAsia" w:ascii="宋体" w:hAnsi="宋体" w:eastAsia="宋体"/>
          <w:color w:val="auto"/>
          <w:sz w:val="21"/>
          <w:szCs w:val="21"/>
          <w:highlight w:val="none"/>
          <w:lang w:eastAsia="zh-CN"/>
        </w:rPr>
      </w:pPr>
      <w:bookmarkStart w:id="170" w:name="_Toc21573"/>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leftChars="0" w:firstLine="420" w:firstLineChars="200"/>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lang w:eastAsia="zh-CN"/>
        </w:rPr>
        <w:t>注：</w:t>
      </w:r>
      <w:r>
        <w:rPr>
          <w:rFonts w:hint="eastAsia" w:ascii="宋体" w:hAnsi="宋体" w:eastAsia="宋体"/>
          <w:color w:val="auto"/>
          <w:sz w:val="21"/>
          <w:szCs w:val="21"/>
          <w:highlight w:val="none"/>
        </w:rPr>
        <w:t>投标人应将开标一览表</w:t>
      </w:r>
      <w:r>
        <w:rPr>
          <w:rFonts w:hint="eastAsia" w:ascii="宋体" w:hAnsi="宋体" w:eastAsia="宋体"/>
          <w:color w:val="auto"/>
          <w:sz w:val="21"/>
          <w:szCs w:val="21"/>
          <w:highlight w:val="none"/>
          <w:lang w:eastAsia="zh-CN"/>
        </w:rPr>
        <w:t>、法人代表证明书、法定代表人授权书（法人投标无需提交授权书）、</w:t>
      </w:r>
      <w:r>
        <w:rPr>
          <w:rFonts w:hint="eastAsia" w:ascii="宋体" w:hAnsi="宋体" w:eastAsia="宋体"/>
          <w:color w:val="auto"/>
          <w:sz w:val="21"/>
          <w:szCs w:val="21"/>
          <w:highlight w:val="none"/>
        </w:rPr>
        <w:t>投标保证金汇入情况说明（加盖公章）</w:t>
      </w:r>
      <w:r>
        <w:rPr>
          <w:rFonts w:hint="eastAsia" w:ascii="宋体" w:hAnsi="宋体" w:eastAsia="宋体"/>
          <w:color w:val="auto"/>
          <w:sz w:val="21"/>
          <w:szCs w:val="21"/>
          <w:highlight w:val="none"/>
          <w:lang w:eastAsia="zh-CN"/>
        </w:rPr>
        <w:t>和</w:t>
      </w:r>
      <w:r>
        <w:rPr>
          <w:rFonts w:hint="eastAsia" w:ascii="宋体" w:hAnsi="宋体" w:eastAsia="宋体"/>
          <w:color w:val="auto"/>
          <w:sz w:val="21"/>
          <w:szCs w:val="21"/>
          <w:highlight w:val="none"/>
        </w:rPr>
        <w:t>投标保证金支付凭证银行汇款底单（复印件加盖公章）单独密封提交，并在信封上标明“开标文件”字样。“开标文件”份数及签章等要求与投标文件正本相同（1份）。</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leftChars="0" w:firstLine="420" w:firstLineChars="200"/>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若投标人采用担保函形式的，则无需密封在“开标文件”内，投标人需在开标时间截止前将原件提交至代理机构。</w:t>
      </w:r>
    </w:p>
    <w:p>
      <w:pPr>
        <w:rPr>
          <w:rFonts w:hint="eastAsia"/>
          <w:color w:val="auto"/>
          <w:sz w:val="28"/>
          <w:szCs w:val="28"/>
          <w:highlight w:val="none"/>
          <w:lang w:val="en-US" w:eastAsia="zh-CN"/>
        </w:rPr>
      </w:pPr>
    </w:p>
    <w:p>
      <w:pPr>
        <w:rPr>
          <w:rFonts w:hint="eastAsia"/>
          <w:color w:val="auto"/>
          <w:sz w:val="28"/>
          <w:szCs w:val="28"/>
          <w:highlight w:val="none"/>
          <w:lang w:val="en-US" w:eastAsia="zh-CN"/>
        </w:rPr>
      </w:pPr>
      <w:r>
        <w:rPr>
          <w:rFonts w:hint="eastAsia"/>
          <w:color w:val="auto"/>
          <w:sz w:val="28"/>
          <w:szCs w:val="28"/>
          <w:highlight w:val="none"/>
          <w:lang w:val="en-US" w:eastAsia="zh-CN"/>
        </w:rPr>
        <w:br w:type="page"/>
      </w:r>
    </w:p>
    <w:p>
      <w:pPr>
        <w:pStyle w:val="3"/>
        <w:pageBreakBefore w:val="0"/>
        <w:kinsoku/>
        <w:topLinePunct w:val="0"/>
        <w:autoSpaceDE/>
        <w:autoSpaceDN/>
        <w:bidi w:val="0"/>
        <w:spacing w:before="0" w:after="0" w:line="360" w:lineRule="auto"/>
        <w:rPr>
          <w:rFonts w:hint="eastAsia" w:ascii="宋体" w:hAnsi="宋体" w:eastAsia="宋体"/>
          <w:color w:val="auto"/>
          <w:sz w:val="21"/>
          <w:szCs w:val="21"/>
          <w:highlight w:val="none"/>
        </w:rPr>
      </w:pPr>
      <w:r>
        <w:rPr>
          <w:rFonts w:hint="eastAsia"/>
          <w:color w:val="auto"/>
          <w:sz w:val="28"/>
          <w:szCs w:val="28"/>
          <w:highlight w:val="none"/>
          <w:lang w:val="en-US" w:eastAsia="zh-CN"/>
        </w:rPr>
        <w:t>第八部分 附件-其他文件格式（如有需求）</w:t>
      </w:r>
      <w:bookmarkEnd w:id="170"/>
    </w:p>
    <w:p>
      <w:pPr>
        <w:pStyle w:val="5"/>
        <w:pageBreakBefore w:val="0"/>
        <w:widowControl w:val="0"/>
        <w:kinsoku/>
        <w:overflowPunct w:val="0"/>
        <w:topLinePunct w:val="0"/>
        <w:autoSpaceDE/>
        <w:autoSpaceDN/>
        <w:bidi w:val="0"/>
        <w:spacing w:before="0" w:after="0" w:line="360" w:lineRule="auto"/>
        <w:rPr>
          <w:color w:val="auto"/>
          <w:highlight w:val="none"/>
        </w:rPr>
      </w:pPr>
      <w:bookmarkStart w:id="171" w:name="_Toc29433"/>
      <w:r>
        <w:rPr>
          <w:rFonts w:hint="eastAsia" w:ascii="宋体" w:hAnsi="宋体" w:eastAsia="宋体"/>
          <w:color w:val="auto"/>
          <w:sz w:val="21"/>
          <w:szCs w:val="21"/>
          <w:highlight w:val="none"/>
        </w:rPr>
        <w:t>附件</w:t>
      </w:r>
      <w:r>
        <w:rPr>
          <w:rFonts w:hint="eastAsia" w:ascii="宋体" w:hAnsi="宋体" w:eastAsia="宋体"/>
          <w:color w:val="auto"/>
          <w:sz w:val="21"/>
          <w:szCs w:val="21"/>
          <w:highlight w:val="none"/>
          <w:lang w:val="en-US" w:eastAsia="zh-CN"/>
        </w:rPr>
        <w:t>1</w:t>
      </w:r>
      <w:r>
        <w:rPr>
          <w:rFonts w:hint="eastAsia" w:ascii="宋体" w:hAnsi="宋体" w:eastAsia="宋体"/>
          <w:color w:val="auto"/>
          <w:sz w:val="21"/>
          <w:szCs w:val="21"/>
          <w:highlight w:val="none"/>
        </w:rPr>
        <w:t>. 中小企业声明函（投标人为中小企业时适用）</w:t>
      </w:r>
      <w:bookmarkEnd w:id="171"/>
    </w:p>
    <w:p>
      <w:pPr>
        <w:pageBreakBefore w:val="0"/>
        <w:kinsoku/>
        <w:topLinePunct w:val="0"/>
        <w:autoSpaceDE/>
        <w:autoSpaceDN/>
        <w:bidi w:val="0"/>
        <w:spacing w:line="360" w:lineRule="auto"/>
        <w:jc w:val="center"/>
        <w:rPr>
          <w:rFonts w:ascii="微软雅黑" w:hAnsi="微软雅黑" w:cs="微软雅黑"/>
          <w:b/>
          <w:color w:val="auto"/>
          <w:sz w:val="28"/>
          <w:szCs w:val="28"/>
          <w:highlight w:val="none"/>
        </w:rPr>
      </w:pPr>
    </w:p>
    <w:p>
      <w:pPr>
        <w:pageBreakBefore w:val="0"/>
        <w:kinsoku/>
        <w:topLinePunct w:val="0"/>
        <w:autoSpaceDE/>
        <w:autoSpaceDN/>
        <w:bidi w:val="0"/>
        <w:spacing w:line="360" w:lineRule="auto"/>
        <w:jc w:val="center"/>
        <w:rPr>
          <w:rFonts w:hint="eastAsia" w:ascii="黑体" w:eastAsia="黑体"/>
          <w:color w:val="auto"/>
          <w:sz w:val="28"/>
          <w:szCs w:val="28"/>
          <w:highlight w:val="none"/>
          <w:lang w:eastAsia="zh-CN"/>
        </w:rPr>
      </w:pPr>
      <w:r>
        <w:rPr>
          <w:rFonts w:hint="eastAsia" w:ascii="黑体" w:eastAsia="黑体"/>
          <w:color w:val="auto"/>
          <w:sz w:val="28"/>
          <w:szCs w:val="28"/>
          <w:highlight w:val="none"/>
        </w:rPr>
        <w:t>中小企业声明函</w:t>
      </w:r>
      <w:r>
        <w:rPr>
          <w:rFonts w:hint="eastAsia" w:ascii="黑体" w:eastAsia="黑体"/>
          <w:color w:val="auto"/>
          <w:sz w:val="28"/>
          <w:szCs w:val="28"/>
          <w:highlight w:val="none"/>
          <w:lang w:eastAsia="zh-CN"/>
        </w:rPr>
        <w:t>（货物）</w:t>
      </w:r>
    </w:p>
    <w:p>
      <w:pPr>
        <w:keepNext w:val="0"/>
        <w:keepLines w:val="0"/>
        <w:pageBreakBefore w:val="0"/>
        <w:widowControl/>
        <w:kinsoku/>
        <w:wordWrap/>
        <w:overflowPunct/>
        <w:topLinePunct w:val="0"/>
        <w:autoSpaceDE/>
        <w:autoSpaceDN/>
        <w:bidi w:val="0"/>
        <w:adjustRightInd w:val="0"/>
        <w:snapToGrid w:val="0"/>
        <w:spacing w:line="360" w:lineRule="auto"/>
        <w:ind w:firstLine="630" w:firstLineChars="300"/>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lang w:val="en-US" w:eastAsia="zh-CN"/>
        </w:rPr>
        <w:t>本公司（联合体）郑重声明，根据《政府采购促进中小企业发展管理办法》（财库〔2020〕46号）的规定，本公司（联合体）参加</w:t>
      </w:r>
      <w:r>
        <w:rPr>
          <w:rFonts w:hint="eastAsia" w:asciiTheme="minorEastAsia" w:hAnsiTheme="minorEastAsia" w:eastAsiaTheme="minorEastAsia" w:cstheme="minorEastAsia"/>
          <w:color w:val="auto"/>
          <w:sz w:val="21"/>
          <w:szCs w:val="21"/>
          <w:highlight w:val="none"/>
          <w:u w:val="single"/>
          <w:lang w:val="en-US" w:eastAsia="zh-CN"/>
        </w:rPr>
        <w:t>（单位名称）</w:t>
      </w:r>
      <w:r>
        <w:rPr>
          <w:rFonts w:hint="eastAsia" w:asciiTheme="minorEastAsia" w:hAnsiTheme="minorEastAsia" w:eastAsiaTheme="minorEastAsia" w:cstheme="minorEastAsia"/>
          <w:color w:val="auto"/>
          <w:sz w:val="21"/>
          <w:szCs w:val="21"/>
          <w:highlight w:val="none"/>
          <w:u w:val="none"/>
          <w:lang w:val="en-US" w:eastAsia="zh-CN"/>
        </w:rPr>
        <w:t>的</w:t>
      </w:r>
      <w:r>
        <w:rPr>
          <w:rFonts w:hint="eastAsia" w:asciiTheme="minorEastAsia" w:hAnsiTheme="minorEastAsia" w:eastAsiaTheme="minorEastAsia" w:cstheme="minorEastAsia"/>
          <w:color w:val="auto"/>
          <w:sz w:val="21"/>
          <w:szCs w:val="21"/>
          <w:highlight w:val="none"/>
          <w:u w:val="single"/>
          <w:lang w:val="en-US" w:eastAsia="zh-CN"/>
        </w:rPr>
        <w:t>（项目名称）</w:t>
      </w:r>
      <w:r>
        <w:rPr>
          <w:rFonts w:hint="eastAsia" w:asciiTheme="minorEastAsia" w:hAnsiTheme="minorEastAsia" w:eastAsiaTheme="minorEastAsia" w:cstheme="minorEastAsia"/>
          <w:color w:val="auto"/>
          <w:sz w:val="21"/>
          <w:szCs w:val="21"/>
          <w:highlight w:val="none"/>
          <w:u w:val="none"/>
          <w:lang w:val="en-US" w:eastAsia="zh-CN"/>
        </w:rPr>
        <w:t>采购活动，提供的货物全部由符合政策要求的中小企业制造。相关企业</w:t>
      </w:r>
      <w:r>
        <w:rPr>
          <w:rFonts w:hint="eastAsia" w:asciiTheme="minorEastAsia" w:hAnsiTheme="minorEastAsia" w:eastAsiaTheme="minorEastAsia" w:cstheme="minorEastAsia"/>
          <w:color w:val="auto"/>
          <w:sz w:val="21"/>
          <w:szCs w:val="21"/>
          <w:highlight w:val="none"/>
          <w:u w:val="single"/>
          <w:lang w:val="en-US" w:eastAsia="zh-CN"/>
        </w:rPr>
        <w:t>（含联合体中的中小企业、签订分包意向协议的中小企业）</w:t>
      </w:r>
      <w:r>
        <w:rPr>
          <w:rFonts w:hint="eastAsia" w:asciiTheme="minorEastAsia" w:hAnsiTheme="minorEastAsia" w:eastAsiaTheme="minorEastAsia" w:cstheme="minorEastAsia"/>
          <w:color w:val="auto"/>
          <w:sz w:val="21"/>
          <w:szCs w:val="21"/>
          <w:highlight w:val="none"/>
          <w:u w:val="none"/>
          <w:lang w:val="en-US" w:eastAsia="zh-CN"/>
        </w:rPr>
        <w:t>的具体情况如下：</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    1.</w:t>
      </w:r>
      <w:r>
        <w:rPr>
          <w:rFonts w:hint="eastAsia" w:asciiTheme="minorEastAsia" w:hAnsiTheme="minorEastAsia" w:eastAsiaTheme="minorEastAsia" w:cstheme="minorEastAsia"/>
          <w:color w:val="auto"/>
          <w:sz w:val="21"/>
          <w:szCs w:val="21"/>
          <w:highlight w:val="none"/>
          <w:u w:val="single"/>
          <w:lang w:val="en-US" w:eastAsia="zh-CN"/>
        </w:rPr>
        <w:t>（标的名称）</w:t>
      </w:r>
      <w:r>
        <w:rPr>
          <w:rFonts w:hint="eastAsia" w:asciiTheme="minorEastAsia" w:hAnsiTheme="minorEastAsia" w:eastAsiaTheme="minorEastAsia" w:cstheme="minorEastAsia"/>
          <w:color w:val="auto"/>
          <w:sz w:val="21"/>
          <w:szCs w:val="21"/>
          <w:highlight w:val="none"/>
          <w:u w:val="none"/>
          <w:lang w:val="en-US" w:eastAsia="zh-CN"/>
        </w:rPr>
        <w:t>，属于</w:t>
      </w:r>
      <w:r>
        <w:rPr>
          <w:rFonts w:hint="eastAsia" w:asciiTheme="minorEastAsia" w:hAnsiTheme="minorEastAsia" w:eastAsiaTheme="minorEastAsia" w:cstheme="minorEastAsia"/>
          <w:color w:val="auto"/>
          <w:sz w:val="21"/>
          <w:szCs w:val="21"/>
          <w:highlight w:val="none"/>
          <w:u w:val="single"/>
          <w:lang w:val="en-US" w:eastAsia="zh-CN"/>
        </w:rPr>
        <w:t>（采购文件中明确的所属行业）行业</w:t>
      </w:r>
      <w:r>
        <w:rPr>
          <w:rFonts w:hint="eastAsia" w:asciiTheme="minorEastAsia" w:hAnsiTheme="minorEastAsia" w:eastAsiaTheme="minorEastAsia" w:cstheme="minorEastAsia"/>
          <w:color w:val="auto"/>
          <w:sz w:val="21"/>
          <w:szCs w:val="21"/>
          <w:highlight w:val="none"/>
          <w:u w:val="none"/>
          <w:lang w:val="en-US" w:eastAsia="zh-CN"/>
        </w:rPr>
        <w:t>；制造商为</w:t>
      </w:r>
      <w:r>
        <w:rPr>
          <w:rFonts w:hint="eastAsia" w:asciiTheme="minorEastAsia" w:hAnsiTheme="minorEastAsia" w:eastAsiaTheme="minorEastAsia" w:cstheme="minorEastAsia"/>
          <w:color w:val="auto"/>
          <w:sz w:val="21"/>
          <w:szCs w:val="21"/>
          <w:highlight w:val="none"/>
          <w:u w:val="single"/>
          <w:lang w:val="en-US" w:eastAsia="zh-CN"/>
        </w:rPr>
        <w:t>（企业名称）</w:t>
      </w:r>
      <w:r>
        <w:rPr>
          <w:rFonts w:hint="eastAsia" w:asciiTheme="minorEastAsia" w:hAnsiTheme="minorEastAsia" w:eastAsiaTheme="minorEastAsia" w:cstheme="minorEastAsia"/>
          <w:color w:val="auto"/>
          <w:sz w:val="21"/>
          <w:szCs w:val="21"/>
          <w:highlight w:val="none"/>
          <w:u w:val="none"/>
          <w:lang w:val="en-US" w:eastAsia="zh-CN"/>
        </w:rPr>
        <w:t>，从业人员_______人，营业收入为_______万元，资产总额为______万元</w:t>
      </w:r>
      <w:r>
        <w:rPr>
          <w:rStyle w:val="22"/>
          <w:rFonts w:hint="eastAsia" w:asciiTheme="minorEastAsia" w:hAnsiTheme="minorEastAsia" w:eastAsiaTheme="minorEastAsia" w:cstheme="minorEastAsia"/>
          <w:color w:val="auto"/>
          <w:sz w:val="21"/>
          <w:szCs w:val="21"/>
          <w:highlight w:val="none"/>
          <w:u w:val="none"/>
          <w:lang w:val="en-US" w:eastAsia="zh-CN"/>
        </w:rPr>
        <w:footnoteReference w:id="0"/>
      </w:r>
      <w:r>
        <w:rPr>
          <w:rFonts w:hint="eastAsia" w:asciiTheme="minorEastAsia" w:hAnsiTheme="minorEastAsia" w:eastAsiaTheme="minorEastAsia" w:cstheme="minorEastAsia"/>
          <w:color w:val="auto"/>
          <w:sz w:val="21"/>
          <w:szCs w:val="21"/>
          <w:highlight w:val="none"/>
          <w:u w:val="none"/>
          <w:lang w:val="en-US" w:eastAsia="zh-CN"/>
        </w:rPr>
        <w:t>，属于</w:t>
      </w:r>
      <w:r>
        <w:rPr>
          <w:rFonts w:hint="eastAsia" w:asciiTheme="minorEastAsia" w:hAnsiTheme="minorEastAsia" w:eastAsiaTheme="minorEastAsia" w:cstheme="minorEastAsia"/>
          <w:color w:val="auto"/>
          <w:sz w:val="21"/>
          <w:szCs w:val="21"/>
          <w:highlight w:val="none"/>
          <w:u w:val="single"/>
          <w:lang w:val="en-US" w:eastAsia="zh-CN"/>
        </w:rPr>
        <w:t>（中型企业、小型企业、微型企业）</w:t>
      </w:r>
      <w:r>
        <w:rPr>
          <w:rFonts w:hint="eastAsia" w:asciiTheme="minorEastAsia" w:hAnsiTheme="minorEastAsia" w:eastAsiaTheme="minorEastAsia" w:cstheme="minorEastAsia"/>
          <w:color w:val="auto"/>
          <w:sz w:val="21"/>
          <w:szCs w:val="21"/>
          <w:highlight w:val="none"/>
          <w:u w:val="none"/>
          <w:lang w:val="en-US" w:eastAsia="zh-CN"/>
        </w:rPr>
        <w:t>；</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 xml:space="preserve">    2.</w:t>
      </w:r>
      <w:r>
        <w:rPr>
          <w:rFonts w:hint="eastAsia" w:asciiTheme="minorEastAsia" w:hAnsiTheme="minorEastAsia" w:eastAsiaTheme="minorEastAsia" w:cstheme="minorEastAsia"/>
          <w:color w:val="auto"/>
          <w:sz w:val="21"/>
          <w:szCs w:val="21"/>
          <w:highlight w:val="none"/>
          <w:u w:val="single"/>
          <w:lang w:val="en-US" w:eastAsia="zh-CN"/>
        </w:rPr>
        <w:t>（标的名称）</w:t>
      </w:r>
      <w:r>
        <w:rPr>
          <w:rFonts w:hint="eastAsia" w:asciiTheme="minorEastAsia" w:hAnsiTheme="minorEastAsia" w:eastAsiaTheme="minorEastAsia" w:cstheme="minorEastAsia"/>
          <w:color w:val="auto"/>
          <w:sz w:val="21"/>
          <w:szCs w:val="21"/>
          <w:highlight w:val="none"/>
          <w:u w:val="none"/>
          <w:lang w:val="en-US" w:eastAsia="zh-CN"/>
        </w:rPr>
        <w:t>，属于</w:t>
      </w:r>
      <w:r>
        <w:rPr>
          <w:rFonts w:hint="eastAsia" w:asciiTheme="minorEastAsia" w:hAnsiTheme="minorEastAsia" w:eastAsiaTheme="minorEastAsia" w:cstheme="minorEastAsia"/>
          <w:color w:val="auto"/>
          <w:sz w:val="21"/>
          <w:szCs w:val="21"/>
          <w:highlight w:val="none"/>
          <w:u w:val="single"/>
          <w:lang w:val="en-US" w:eastAsia="zh-CN"/>
        </w:rPr>
        <w:t>（采购文件中明确的所属行业）行业</w:t>
      </w:r>
      <w:r>
        <w:rPr>
          <w:rFonts w:hint="eastAsia" w:asciiTheme="minorEastAsia" w:hAnsiTheme="minorEastAsia" w:eastAsiaTheme="minorEastAsia" w:cstheme="minorEastAsia"/>
          <w:color w:val="auto"/>
          <w:sz w:val="21"/>
          <w:szCs w:val="21"/>
          <w:highlight w:val="none"/>
          <w:u w:val="none"/>
          <w:lang w:val="en-US" w:eastAsia="zh-CN"/>
        </w:rPr>
        <w:t>；制造商为</w:t>
      </w:r>
      <w:r>
        <w:rPr>
          <w:rFonts w:hint="eastAsia" w:asciiTheme="minorEastAsia" w:hAnsiTheme="minorEastAsia" w:eastAsiaTheme="minorEastAsia" w:cstheme="minorEastAsia"/>
          <w:color w:val="auto"/>
          <w:sz w:val="21"/>
          <w:szCs w:val="21"/>
          <w:highlight w:val="none"/>
          <w:u w:val="single"/>
          <w:lang w:val="en-US" w:eastAsia="zh-CN"/>
        </w:rPr>
        <w:t>（企业名称）</w:t>
      </w:r>
      <w:r>
        <w:rPr>
          <w:rFonts w:hint="eastAsia" w:asciiTheme="minorEastAsia" w:hAnsiTheme="minorEastAsia" w:eastAsiaTheme="minorEastAsia" w:cstheme="minorEastAsia"/>
          <w:color w:val="auto"/>
          <w:sz w:val="21"/>
          <w:szCs w:val="21"/>
          <w:highlight w:val="none"/>
          <w:u w:val="none"/>
          <w:lang w:val="en-US" w:eastAsia="zh-CN"/>
        </w:rPr>
        <w:t>，从业人员_______人，营业收入为_______万元，资产总额为______万元，属于</w:t>
      </w:r>
      <w:r>
        <w:rPr>
          <w:rFonts w:hint="eastAsia" w:asciiTheme="minorEastAsia" w:hAnsiTheme="minorEastAsia" w:eastAsiaTheme="minorEastAsia" w:cstheme="minorEastAsia"/>
          <w:color w:val="auto"/>
          <w:sz w:val="21"/>
          <w:szCs w:val="21"/>
          <w:highlight w:val="none"/>
          <w:u w:val="single"/>
          <w:lang w:val="en-US" w:eastAsia="zh-CN"/>
        </w:rPr>
        <w:t>（中型企业、小型企业、微型企业）</w:t>
      </w:r>
      <w:r>
        <w:rPr>
          <w:rFonts w:hint="eastAsia" w:asciiTheme="minorEastAsia" w:hAnsiTheme="minorEastAsia" w:eastAsiaTheme="minorEastAsia" w:cstheme="minorEastAsia"/>
          <w:color w:val="auto"/>
          <w:sz w:val="21"/>
          <w:szCs w:val="21"/>
          <w:highlight w:val="none"/>
          <w:u w:val="none"/>
          <w:lang w:val="en-US" w:eastAsia="zh-CN"/>
        </w:rPr>
        <w:t>；</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以上企业，不属于大企业的分支机构，不存在控股股东为大企业的情形，也不存在与大企业的负责人为同一人的情形。</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本企业对上诉声明内容的真实性负责。如有虚假，将依法承担相应责任。</w:t>
      </w:r>
    </w:p>
    <w:p>
      <w:pPr>
        <w:pStyle w:val="2"/>
        <w:keepNext w:val="0"/>
        <w:keepLines w:val="0"/>
        <w:pageBreakBefore w:val="0"/>
        <w:widowControl/>
        <w:kinsoku/>
        <w:wordWrap w:val="0"/>
        <w:overflowPunct/>
        <w:topLinePunct w:val="0"/>
        <w:autoSpaceDE/>
        <w:autoSpaceDN/>
        <w:bidi w:val="0"/>
        <w:adjustRightInd w:val="0"/>
        <w:snapToGrid w:val="0"/>
        <w:spacing w:line="360" w:lineRule="auto"/>
        <w:ind w:left="0" w:leftChars="0" w:firstLine="480" w:firstLineChars="0"/>
        <w:jc w:val="right"/>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 xml:space="preserve">    </w:t>
      </w:r>
    </w:p>
    <w:p>
      <w:pPr>
        <w:pStyle w:val="2"/>
        <w:keepNext w:val="0"/>
        <w:keepLines w:val="0"/>
        <w:pageBreakBefore w:val="0"/>
        <w:widowControl/>
        <w:kinsoku/>
        <w:wordWrap/>
        <w:overflowPunct/>
        <w:topLinePunct w:val="0"/>
        <w:autoSpaceDE/>
        <w:autoSpaceDN/>
        <w:bidi w:val="0"/>
        <w:adjustRightInd w:val="0"/>
        <w:snapToGrid w:val="0"/>
        <w:spacing w:line="360" w:lineRule="auto"/>
        <w:ind w:firstLine="4830" w:firstLineChars="2300"/>
        <w:jc w:val="both"/>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企业名称（盖章）：</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0"/>
        <w:jc w:val="center"/>
        <w:textAlignment w:val="auto"/>
        <w:rPr>
          <w:rFonts w:hint="eastAsia" w:ascii="宋体" w:hAnsi="宋体" w:eastAsia="宋体"/>
          <w:color w:val="auto"/>
          <w:sz w:val="21"/>
          <w:szCs w:val="21"/>
          <w:highlight w:val="none"/>
        </w:rPr>
      </w:pPr>
      <w:r>
        <w:rPr>
          <w:rFonts w:hint="eastAsia" w:asciiTheme="minorEastAsia" w:hAnsiTheme="minorEastAsia" w:eastAsiaTheme="minorEastAsia" w:cstheme="minorEastAsia"/>
          <w:color w:val="auto"/>
          <w:sz w:val="21"/>
          <w:szCs w:val="21"/>
          <w:highlight w:val="none"/>
          <w:u w:val="none"/>
          <w:lang w:val="en-US" w:eastAsia="zh-CN"/>
        </w:rPr>
        <w:t xml:space="preserve">                 日期：</w:t>
      </w:r>
      <w:r>
        <w:rPr>
          <w:rFonts w:hint="eastAsia" w:ascii="宋体" w:hAnsi="宋体" w:eastAsia="宋体"/>
          <w:color w:val="auto"/>
          <w:sz w:val="21"/>
          <w:szCs w:val="21"/>
          <w:highlight w:val="none"/>
        </w:rPr>
        <w:br w:type="page"/>
      </w:r>
    </w:p>
    <w:p>
      <w:pPr>
        <w:pageBreakBefore w:val="0"/>
        <w:kinsoku/>
        <w:topLinePunct w:val="0"/>
        <w:autoSpaceDE/>
        <w:autoSpaceDN/>
        <w:bidi w:val="0"/>
        <w:spacing w:line="360" w:lineRule="auto"/>
        <w:jc w:val="center"/>
        <w:rPr>
          <w:rFonts w:hint="eastAsia" w:ascii="黑体" w:eastAsia="黑体"/>
          <w:color w:val="auto"/>
          <w:sz w:val="28"/>
          <w:szCs w:val="28"/>
          <w:highlight w:val="none"/>
        </w:rPr>
      </w:pPr>
    </w:p>
    <w:p>
      <w:pPr>
        <w:pageBreakBefore w:val="0"/>
        <w:kinsoku/>
        <w:topLinePunct w:val="0"/>
        <w:autoSpaceDE/>
        <w:autoSpaceDN/>
        <w:bidi w:val="0"/>
        <w:spacing w:line="360" w:lineRule="auto"/>
        <w:jc w:val="center"/>
        <w:rPr>
          <w:rFonts w:hint="eastAsia" w:ascii="黑体" w:eastAsia="黑体"/>
          <w:color w:val="auto"/>
          <w:sz w:val="28"/>
          <w:szCs w:val="28"/>
          <w:highlight w:val="none"/>
          <w:lang w:eastAsia="zh-CN"/>
        </w:rPr>
      </w:pPr>
      <w:r>
        <w:rPr>
          <w:rFonts w:hint="eastAsia" w:ascii="黑体" w:eastAsia="黑体"/>
          <w:color w:val="auto"/>
          <w:sz w:val="28"/>
          <w:szCs w:val="28"/>
          <w:highlight w:val="none"/>
        </w:rPr>
        <w:t>中小企业声明函</w:t>
      </w:r>
      <w:r>
        <w:rPr>
          <w:rFonts w:hint="eastAsia" w:ascii="黑体" w:eastAsia="黑体"/>
          <w:color w:val="auto"/>
          <w:sz w:val="28"/>
          <w:szCs w:val="28"/>
          <w:highlight w:val="none"/>
          <w:lang w:eastAsia="zh-CN"/>
        </w:rPr>
        <w:t>（工程、服务）</w:t>
      </w:r>
    </w:p>
    <w:p>
      <w:pPr>
        <w:keepNext w:val="0"/>
        <w:keepLines w:val="0"/>
        <w:pageBreakBefore w:val="0"/>
        <w:widowControl/>
        <w:kinsoku/>
        <w:wordWrap/>
        <w:overflowPunct/>
        <w:topLinePunct w:val="0"/>
        <w:autoSpaceDE/>
        <w:autoSpaceDN/>
        <w:bidi w:val="0"/>
        <w:adjustRightInd w:val="0"/>
        <w:snapToGrid w:val="0"/>
        <w:spacing w:line="360" w:lineRule="auto"/>
        <w:ind w:firstLine="220" w:firstLineChars="100"/>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eastAsiaTheme="minorEastAsia"/>
          <w:color w:val="auto"/>
          <w:highlight w:val="none"/>
          <w:lang w:val="en-US" w:eastAsia="zh-CN"/>
        </w:rPr>
        <w:t xml:space="preserve">     </w:t>
      </w:r>
      <w:r>
        <w:rPr>
          <w:rFonts w:hint="eastAsia" w:asciiTheme="minorEastAsia" w:hAnsiTheme="minorEastAsia" w:eastAsiaTheme="minorEastAsia" w:cstheme="minorEastAsia"/>
          <w:color w:val="auto"/>
          <w:sz w:val="21"/>
          <w:szCs w:val="21"/>
          <w:highlight w:val="none"/>
          <w:lang w:val="en-US" w:eastAsia="zh-CN"/>
        </w:rPr>
        <w:t>本公司（联合体）郑重声明，根据《政府采购促进中小企业发展管理办法》（财库〔2020〕46号）的规定，本公司（联合体）参加</w:t>
      </w:r>
      <w:r>
        <w:rPr>
          <w:rFonts w:hint="eastAsia" w:asciiTheme="minorEastAsia" w:hAnsiTheme="minorEastAsia" w:eastAsiaTheme="minorEastAsia" w:cstheme="minorEastAsia"/>
          <w:color w:val="auto"/>
          <w:sz w:val="21"/>
          <w:szCs w:val="21"/>
          <w:highlight w:val="none"/>
          <w:u w:val="single"/>
          <w:lang w:val="en-US" w:eastAsia="zh-CN"/>
        </w:rPr>
        <w:t>（单位名称）</w:t>
      </w:r>
      <w:r>
        <w:rPr>
          <w:rFonts w:hint="eastAsia" w:asciiTheme="minorEastAsia" w:hAnsiTheme="minorEastAsia" w:eastAsiaTheme="minorEastAsia" w:cstheme="minorEastAsia"/>
          <w:color w:val="auto"/>
          <w:sz w:val="21"/>
          <w:szCs w:val="21"/>
          <w:highlight w:val="none"/>
          <w:u w:val="none"/>
          <w:lang w:val="en-US" w:eastAsia="zh-CN"/>
        </w:rPr>
        <w:t>的</w:t>
      </w:r>
      <w:r>
        <w:rPr>
          <w:rFonts w:hint="eastAsia" w:asciiTheme="minorEastAsia" w:hAnsiTheme="minorEastAsia" w:eastAsiaTheme="minorEastAsia" w:cstheme="minorEastAsia"/>
          <w:color w:val="auto"/>
          <w:sz w:val="21"/>
          <w:szCs w:val="21"/>
          <w:highlight w:val="none"/>
          <w:u w:val="single"/>
          <w:lang w:val="en-US" w:eastAsia="zh-CN"/>
        </w:rPr>
        <w:t>（项目名称）</w:t>
      </w:r>
      <w:r>
        <w:rPr>
          <w:rFonts w:hint="eastAsia" w:asciiTheme="minorEastAsia" w:hAnsiTheme="minorEastAsia" w:eastAsiaTheme="minorEastAsia" w:cstheme="minorEastAsia"/>
          <w:color w:val="auto"/>
          <w:sz w:val="21"/>
          <w:szCs w:val="21"/>
          <w:highlight w:val="none"/>
          <w:u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    1.</w:t>
      </w:r>
      <w:r>
        <w:rPr>
          <w:rFonts w:hint="eastAsia" w:asciiTheme="minorEastAsia" w:hAnsiTheme="minorEastAsia" w:eastAsiaTheme="minorEastAsia" w:cstheme="minorEastAsia"/>
          <w:color w:val="auto"/>
          <w:sz w:val="21"/>
          <w:szCs w:val="21"/>
          <w:highlight w:val="none"/>
          <w:u w:val="single"/>
          <w:lang w:val="en-US" w:eastAsia="zh-CN"/>
        </w:rPr>
        <w:t>（标的名称）</w:t>
      </w:r>
      <w:r>
        <w:rPr>
          <w:rFonts w:hint="eastAsia" w:asciiTheme="minorEastAsia" w:hAnsiTheme="minorEastAsia" w:eastAsiaTheme="minorEastAsia" w:cstheme="minorEastAsia"/>
          <w:color w:val="auto"/>
          <w:sz w:val="21"/>
          <w:szCs w:val="21"/>
          <w:highlight w:val="none"/>
          <w:u w:val="none"/>
          <w:lang w:val="en-US" w:eastAsia="zh-CN"/>
        </w:rPr>
        <w:t>，属于</w:t>
      </w:r>
      <w:r>
        <w:rPr>
          <w:rFonts w:hint="eastAsia" w:asciiTheme="minorEastAsia" w:hAnsiTheme="minorEastAsia" w:eastAsiaTheme="minorEastAsia" w:cstheme="minorEastAsia"/>
          <w:color w:val="auto"/>
          <w:sz w:val="21"/>
          <w:szCs w:val="21"/>
          <w:highlight w:val="none"/>
          <w:u w:val="single"/>
          <w:lang w:val="en-US" w:eastAsia="zh-CN"/>
        </w:rPr>
        <w:t>（采购文件中明确的所属行业）行业</w:t>
      </w:r>
      <w:r>
        <w:rPr>
          <w:rFonts w:hint="eastAsia" w:asciiTheme="minorEastAsia" w:hAnsiTheme="minorEastAsia" w:eastAsiaTheme="minorEastAsia" w:cstheme="minorEastAsia"/>
          <w:color w:val="auto"/>
          <w:sz w:val="21"/>
          <w:szCs w:val="21"/>
          <w:highlight w:val="none"/>
          <w:u w:val="none"/>
          <w:lang w:val="en-US" w:eastAsia="zh-CN"/>
        </w:rPr>
        <w:t>；承建（承接）企业为</w:t>
      </w:r>
      <w:r>
        <w:rPr>
          <w:rFonts w:hint="eastAsia" w:asciiTheme="minorEastAsia" w:hAnsiTheme="minorEastAsia" w:eastAsiaTheme="minorEastAsia" w:cstheme="minorEastAsia"/>
          <w:color w:val="auto"/>
          <w:sz w:val="21"/>
          <w:szCs w:val="21"/>
          <w:highlight w:val="none"/>
          <w:u w:val="single"/>
          <w:lang w:val="en-US" w:eastAsia="zh-CN"/>
        </w:rPr>
        <w:t>（企业名称）</w:t>
      </w:r>
      <w:r>
        <w:rPr>
          <w:rFonts w:hint="eastAsia" w:asciiTheme="minorEastAsia" w:hAnsiTheme="minorEastAsia" w:eastAsiaTheme="minorEastAsia" w:cstheme="minorEastAsia"/>
          <w:color w:val="auto"/>
          <w:sz w:val="21"/>
          <w:szCs w:val="21"/>
          <w:highlight w:val="none"/>
          <w:u w:val="none"/>
          <w:lang w:val="en-US" w:eastAsia="zh-CN"/>
        </w:rPr>
        <w:t>，从业人员_______人，营业收入为_______万元，资产总额为______万元</w:t>
      </w:r>
      <w:r>
        <w:rPr>
          <w:rStyle w:val="22"/>
          <w:rFonts w:hint="eastAsia" w:asciiTheme="minorEastAsia" w:hAnsiTheme="minorEastAsia" w:eastAsiaTheme="minorEastAsia" w:cstheme="minorEastAsia"/>
          <w:color w:val="auto"/>
          <w:sz w:val="21"/>
          <w:szCs w:val="21"/>
          <w:highlight w:val="none"/>
          <w:u w:val="none"/>
          <w:lang w:val="en-US" w:eastAsia="zh-CN"/>
        </w:rPr>
        <w:footnoteReference w:id="1"/>
      </w:r>
      <w:r>
        <w:rPr>
          <w:rFonts w:hint="eastAsia" w:asciiTheme="minorEastAsia" w:hAnsiTheme="minorEastAsia" w:eastAsiaTheme="minorEastAsia" w:cstheme="minorEastAsia"/>
          <w:color w:val="auto"/>
          <w:sz w:val="21"/>
          <w:szCs w:val="21"/>
          <w:highlight w:val="none"/>
          <w:u w:val="none"/>
          <w:lang w:val="en-US" w:eastAsia="zh-CN"/>
        </w:rPr>
        <w:t>，属于</w:t>
      </w:r>
      <w:r>
        <w:rPr>
          <w:rFonts w:hint="eastAsia" w:asciiTheme="minorEastAsia" w:hAnsiTheme="minorEastAsia" w:eastAsiaTheme="minorEastAsia" w:cstheme="minorEastAsia"/>
          <w:color w:val="auto"/>
          <w:sz w:val="21"/>
          <w:szCs w:val="21"/>
          <w:highlight w:val="none"/>
          <w:u w:val="single"/>
          <w:lang w:val="en-US" w:eastAsia="zh-CN"/>
        </w:rPr>
        <w:t>（中型企业、小型企业、微型企业）</w:t>
      </w:r>
      <w:r>
        <w:rPr>
          <w:rFonts w:hint="eastAsia" w:asciiTheme="minorEastAsia" w:hAnsiTheme="minorEastAsia" w:eastAsiaTheme="minorEastAsia" w:cstheme="minorEastAsia"/>
          <w:color w:val="auto"/>
          <w:sz w:val="21"/>
          <w:szCs w:val="21"/>
          <w:highlight w:val="none"/>
          <w:u w:val="none"/>
          <w:lang w:val="en-US" w:eastAsia="zh-CN"/>
        </w:rPr>
        <w:t>；</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 xml:space="preserve">    2.</w:t>
      </w:r>
      <w:r>
        <w:rPr>
          <w:rFonts w:hint="eastAsia" w:asciiTheme="minorEastAsia" w:hAnsiTheme="minorEastAsia" w:eastAsiaTheme="minorEastAsia" w:cstheme="minorEastAsia"/>
          <w:color w:val="auto"/>
          <w:sz w:val="21"/>
          <w:szCs w:val="21"/>
          <w:highlight w:val="none"/>
          <w:u w:val="single"/>
          <w:lang w:val="en-US" w:eastAsia="zh-CN"/>
        </w:rPr>
        <w:t>（标的名称）</w:t>
      </w:r>
      <w:r>
        <w:rPr>
          <w:rFonts w:hint="eastAsia" w:asciiTheme="minorEastAsia" w:hAnsiTheme="minorEastAsia" w:eastAsiaTheme="minorEastAsia" w:cstheme="minorEastAsia"/>
          <w:color w:val="auto"/>
          <w:sz w:val="21"/>
          <w:szCs w:val="21"/>
          <w:highlight w:val="none"/>
          <w:u w:val="none"/>
          <w:lang w:val="en-US" w:eastAsia="zh-CN"/>
        </w:rPr>
        <w:t>，属于</w:t>
      </w:r>
      <w:r>
        <w:rPr>
          <w:rFonts w:hint="eastAsia" w:asciiTheme="minorEastAsia" w:hAnsiTheme="minorEastAsia" w:eastAsiaTheme="minorEastAsia" w:cstheme="minorEastAsia"/>
          <w:color w:val="auto"/>
          <w:sz w:val="21"/>
          <w:szCs w:val="21"/>
          <w:highlight w:val="none"/>
          <w:u w:val="single"/>
          <w:lang w:val="en-US" w:eastAsia="zh-CN"/>
        </w:rPr>
        <w:t>（采购文件中明确的所属行业）行业</w:t>
      </w:r>
      <w:r>
        <w:rPr>
          <w:rFonts w:hint="eastAsia" w:asciiTheme="minorEastAsia" w:hAnsiTheme="minorEastAsia" w:eastAsiaTheme="minorEastAsia" w:cstheme="minorEastAsia"/>
          <w:color w:val="auto"/>
          <w:sz w:val="21"/>
          <w:szCs w:val="21"/>
          <w:highlight w:val="none"/>
          <w:u w:val="none"/>
          <w:lang w:val="en-US" w:eastAsia="zh-CN"/>
        </w:rPr>
        <w:t>；承建（承接）企业为</w:t>
      </w:r>
      <w:r>
        <w:rPr>
          <w:rFonts w:hint="eastAsia" w:asciiTheme="minorEastAsia" w:hAnsiTheme="minorEastAsia" w:eastAsiaTheme="minorEastAsia" w:cstheme="minorEastAsia"/>
          <w:color w:val="auto"/>
          <w:sz w:val="21"/>
          <w:szCs w:val="21"/>
          <w:highlight w:val="none"/>
          <w:u w:val="single"/>
          <w:lang w:val="en-US" w:eastAsia="zh-CN"/>
        </w:rPr>
        <w:t>（企业名称）</w:t>
      </w:r>
      <w:r>
        <w:rPr>
          <w:rFonts w:hint="eastAsia" w:asciiTheme="minorEastAsia" w:hAnsiTheme="minorEastAsia" w:eastAsiaTheme="minorEastAsia" w:cstheme="minorEastAsia"/>
          <w:color w:val="auto"/>
          <w:sz w:val="21"/>
          <w:szCs w:val="21"/>
          <w:highlight w:val="none"/>
          <w:u w:val="none"/>
          <w:lang w:val="en-US" w:eastAsia="zh-CN"/>
        </w:rPr>
        <w:t>，从业人员_______人，营业收入为_______万元，资产总额为______万元，属于</w:t>
      </w:r>
      <w:r>
        <w:rPr>
          <w:rFonts w:hint="eastAsia" w:asciiTheme="minorEastAsia" w:hAnsiTheme="minorEastAsia" w:eastAsiaTheme="minorEastAsia" w:cstheme="minorEastAsia"/>
          <w:color w:val="auto"/>
          <w:sz w:val="21"/>
          <w:szCs w:val="21"/>
          <w:highlight w:val="none"/>
          <w:u w:val="single"/>
          <w:lang w:val="en-US" w:eastAsia="zh-CN"/>
        </w:rPr>
        <w:t>（中型企业、小型企业、微型企业）</w:t>
      </w:r>
      <w:r>
        <w:rPr>
          <w:rFonts w:hint="eastAsia" w:asciiTheme="minorEastAsia" w:hAnsiTheme="minorEastAsia" w:eastAsiaTheme="minorEastAsia" w:cstheme="minorEastAsia"/>
          <w:color w:val="auto"/>
          <w:sz w:val="21"/>
          <w:szCs w:val="21"/>
          <w:highlight w:val="none"/>
          <w:u w:val="none"/>
          <w:lang w:val="en-US" w:eastAsia="zh-CN"/>
        </w:rPr>
        <w:t>；</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以上企业，不属于大企业的分支机构，不存在控股股东为大企业的情形，也不存在与大企业的负责人为同一人的情形。</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本企业对上诉声明内容的真实性负责。如有虚假，将依法承担相应责任。</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jc w:val="left"/>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 xml:space="preserve">    </w:t>
      </w:r>
    </w:p>
    <w:p>
      <w:pPr>
        <w:pStyle w:val="2"/>
        <w:keepNext w:val="0"/>
        <w:keepLines w:val="0"/>
        <w:pageBreakBefore w:val="0"/>
        <w:widowControl/>
        <w:kinsoku/>
        <w:wordWrap/>
        <w:overflowPunct/>
        <w:topLinePunct w:val="0"/>
        <w:autoSpaceDE/>
        <w:autoSpaceDN/>
        <w:bidi w:val="0"/>
        <w:adjustRightInd w:val="0"/>
        <w:snapToGrid w:val="0"/>
        <w:spacing w:line="360" w:lineRule="auto"/>
        <w:ind w:firstLine="4830" w:firstLineChars="2300"/>
        <w:jc w:val="both"/>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企业名称（盖章）：</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0"/>
        <w:jc w:val="center"/>
        <w:textAlignment w:val="auto"/>
        <w:rPr>
          <w:rFonts w:hint="default"/>
          <w:color w:val="auto"/>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 xml:space="preserve">                 日期：</w:t>
      </w:r>
    </w:p>
    <w:p>
      <w:pPr>
        <w:pageBreakBefore w:val="0"/>
        <w:kinsoku/>
        <w:topLinePunct w:val="0"/>
        <w:autoSpaceDE/>
        <w:autoSpaceDN/>
        <w:bidi w:val="0"/>
        <w:spacing w:line="360" w:lineRule="auto"/>
        <w:rPr>
          <w:rFonts w:hint="eastAsia" w:ascii="Tahoma" w:hAnsi="Tahoma" w:eastAsia="微软雅黑" w:cstheme="minorBidi"/>
          <w:color w:val="auto"/>
          <w:sz w:val="22"/>
          <w:szCs w:val="22"/>
          <w:highlight w:val="none"/>
          <w:lang w:val="en-US" w:eastAsia="zh-CN" w:bidi="ar-SA"/>
        </w:rPr>
      </w:pPr>
      <w:r>
        <w:rPr>
          <w:rFonts w:hint="eastAsia" w:ascii="宋体" w:hAnsi="宋体" w:eastAsia="宋体"/>
          <w:color w:val="auto"/>
          <w:sz w:val="21"/>
          <w:szCs w:val="21"/>
          <w:highlight w:val="none"/>
        </w:rPr>
        <w:br w:type="page"/>
      </w:r>
    </w:p>
    <w:p>
      <w:pPr>
        <w:pageBreakBefore w:val="0"/>
        <w:kinsoku/>
        <w:topLinePunct w:val="0"/>
        <w:autoSpaceDE/>
        <w:autoSpaceDN/>
        <w:bidi w:val="0"/>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1、投标人应根据</w:t>
      </w:r>
      <w:r>
        <w:rPr>
          <w:rFonts w:hint="eastAsia" w:ascii="宋体" w:hAnsi="宋体" w:eastAsia="宋体"/>
          <w:color w:val="auto"/>
          <w:sz w:val="21"/>
          <w:szCs w:val="21"/>
          <w:highlight w:val="none"/>
          <w:lang w:eastAsia="zh-CN"/>
        </w:rPr>
        <w:t>《政府采购促进中小企业发展管理办法》的通知（财库〔2020〕46号）</w:t>
      </w:r>
      <w:r>
        <w:rPr>
          <w:rFonts w:hint="eastAsia" w:ascii="宋体" w:hAnsi="宋体" w:eastAsia="宋体"/>
          <w:color w:val="auto"/>
          <w:sz w:val="21"/>
          <w:szCs w:val="21"/>
          <w:highlight w:val="none"/>
        </w:rPr>
        <w:t>的有关规定如实填写此表。（监狱企业视同小型、微型企业，监狱企业参加政府采购活动时，应当提供由省级以上监狱管理局、戒毒管理局(含新疆生产建设兵团)出具的属于监狱企业的证明文件）</w:t>
      </w:r>
    </w:p>
    <w:p>
      <w:pPr>
        <w:keepNext w:val="0"/>
        <w:keepLines w:val="0"/>
        <w:pageBreakBefore w:val="0"/>
        <w:widowControl/>
        <w:kinsoku/>
        <w:wordWrap/>
        <w:overflowPunct/>
        <w:topLinePunct w:val="0"/>
        <w:autoSpaceDE/>
        <w:autoSpaceDN/>
        <w:bidi w:val="0"/>
        <w:adjustRightInd w:val="0"/>
        <w:snapToGrid w:val="0"/>
        <w:spacing w:after="0" w:line="360" w:lineRule="auto"/>
        <w:ind w:firstLine="422" w:firstLineChars="200"/>
        <w:textAlignment w:val="auto"/>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2、若投标人不属于规定的中小企业范围，或提供的产品不是中小企业制造的，则无需提供此表。中小企业划分标准可查阅《关于印发中小企业划型标准规定的通知》（工信部联企业〔2011〕300号）</w:t>
      </w:r>
    </w:p>
    <w:p>
      <w:pPr>
        <w:pStyle w:val="2"/>
        <w:keepNext w:val="0"/>
        <w:keepLines w:val="0"/>
        <w:pageBreakBefore w:val="0"/>
        <w:widowControl/>
        <w:kinsoku/>
        <w:wordWrap/>
        <w:overflowPunct/>
        <w:topLinePunct w:val="0"/>
        <w:autoSpaceDE/>
        <w:autoSpaceDN/>
        <w:bidi w:val="0"/>
        <w:adjustRightInd w:val="0"/>
        <w:snapToGrid w:val="0"/>
        <w:spacing w:before="0" w:line="360" w:lineRule="auto"/>
        <w:ind w:left="0" w:leftChars="0" w:firstLine="420" w:firstLineChars="200"/>
        <w:jc w:val="left"/>
        <w:textAlignment w:val="auto"/>
        <w:rPr>
          <w:rFonts w:hint="eastAsia" w:ascii="宋体" w:hAnsi="宋体" w:eastAsia="宋体" w:cstheme="minorBidi"/>
          <w:color w:val="auto"/>
          <w:sz w:val="21"/>
          <w:szCs w:val="21"/>
          <w:highlight w:val="none"/>
          <w:lang w:val="en-US" w:eastAsia="zh-CN" w:bidi="ar-SA"/>
        </w:rPr>
      </w:pPr>
      <w:r>
        <w:rPr>
          <w:rFonts w:hint="eastAsia" w:cstheme="minorBidi"/>
          <w:color w:val="auto"/>
          <w:sz w:val="21"/>
          <w:szCs w:val="21"/>
          <w:highlight w:val="none"/>
          <w:lang w:val="en-US" w:eastAsia="zh-CN" w:bidi="ar-SA"/>
        </w:rPr>
        <w:t>3、</w:t>
      </w:r>
      <w:r>
        <w:rPr>
          <w:rFonts w:hint="eastAsia" w:ascii="宋体" w:hAnsi="宋体" w:eastAsia="宋体" w:cstheme="minorBidi"/>
          <w:color w:val="auto"/>
          <w:sz w:val="21"/>
          <w:szCs w:val="21"/>
          <w:highlight w:val="none"/>
          <w:lang w:val="en-US" w:eastAsia="zh-CN" w:bidi="ar-SA"/>
        </w:rPr>
        <w:t>若投标人属于《政府采购促进中小企业发展管理办法》的通知（财库〔2020〕46号）的第四条规定中享受中小企业扶持政策的情况，应在《中小企业声明函》中完整如实列出项目标的具体情况。若发现因提供虚假材料或者提供材料不齐全导致的一切后果由投标人自行承担责任。（如不属于上述情况，则无需提供此表）</w:t>
      </w:r>
    </w:p>
    <w:p>
      <w:pPr>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theme="minorBidi"/>
          <w:color w:val="auto"/>
          <w:sz w:val="21"/>
          <w:szCs w:val="21"/>
          <w:highlight w:val="none"/>
          <w:lang w:val="en-US" w:eastAsia="zh-CN" w:bidi="ar-SA"/>
        </w:rPr>
      </w:pPr>
      <w:r>
        <w:rPr>
          <w:rFonts w:hint="eastAsia" w:ascii="宋体" w:hAnsi="宋体" w:eastAsia="宋体" w:cstheme="minorBidi"/>
          <w:color w:val="auto"/>
          <w:sz w:val="21"/>
          <w:szCs w:val="21"/>
          <w:highlight w:val="none"/>
          <w:lang w:val="en-US" w:eastAsia="zh-CN" w:bidi="ar-SA"/>
        </w:rPr>
        <w:t>4、依据规定享受扶持政策获得政府采购合同的，小微企业不得将合同分包给大中型企业，中型企业不得将合同分包给大型企业。</w:t>
      </w:r>
    </w:p>
    <w:p>
      <w:pPr>
        <w:pageBreakBefore w:val="0"/>
        <w:kinsoku/>
        <w:topLinePunct w:val="0"/>
        <w:autoSpaceDE/>
        <w:autoSpaceDN/>
        <w:bidi w:val="0"/>
        <w:adjustRightInd/>
        <w:snapToGrid/>
        <w:spacing w:line="360" w:lineRule="auto"/>
        <w:rPr>
          <w:rFonts w:ascii="楷体_GB2312" w:eastAsia="楷体_GB2312" w:hAnsiTheme="majorHAnsi" w:cstheme="majorBidi"/>
          <w:b/>
          <w:bCs/>
          <w:color w:val="auto"/>
          <w:sz w:val="24"/>
          <w:szCs w:val="28"/>
          <w:highlight w:val="none"/>
        </w:rPr>
      </w:pPr>
      <w:r>
        <w:rPr>
          <w:rFonts w:ascii="楷体_GB2312" w:eastAsia="楷体_GB2312"/>
          <w:color w:val="auto"/>
          <w:sz w:val="24"/>
          <w:highlight w:val="none"/>
        </w:rPr>
        <w:br w:type="page"/>
      </w:r>
    </w:p>
    <w:p>
      <w:pPr>
        <w:pStyle w:val="5"/>
        <w:pageBreakBefore w:val="0"/>
        <w:widowControl w:val="0"/>
        <w:kinsoku/>
        <w:overflowPunct w:val="0"/>
        <w:topLinePunct w:val="0"/>
        <w:autoSpaceDE/>
        <w:autoSpaceDN/>
        <w:bidi w:val="0"/>
        <w:spacing w:before="0" w:after="0" w:line="360" w:lineRule="auto"/>
        <w:rPr>
          <w:rFonts w:ascii="楷体_GB2312" w:eastAsia="楷体_GB2312"/>
          <w:color w:val="auto"/>
          <w:sz w:val="24"/>
          <w:highlight w:val="none"/>
        </w:rPr>
      </w:pPr>
      <w:bookmarkStart w:id="172" w:name="_Toc21108"/>
      <w:r>
        <w:rPr>
          <w:rFonts w:hint="eastAsia" w:ascii="宋体" w:hAnsi="宋体" w:eastAsia="宋体"/>
          <w:color w:val="auto"/>
          <w:sz w:val="21"/>
          <w:szCs w:val="21"/>
          <w:highlight w:val="none"/>
        </w:rPr>
        <w:t>附件</w:t>
      </w:r>
      <w:r>
        <w:rPr>
          <w:rFonts w:hint="eastAsia" w:ascii="宋体" w:hAnsi="宋体" w:eastAsia="宋体"/>
          <w:color w:val="auto"/>
          <w:sz w:val="21"/>
          <w:szCs w:val="21"/>
          <w:highlight w:val="none"/>
          <w:lang w:val="en-US" w:eastAsia="zh-CN"/>
        </w:rPr>
        <w:t>2</w:t>
      </w:r>
      <w:r>
        <w:rPr>
          <w:rFonts w:hint="eastAsia" w:ascii="宋体" w:hAnsi="宋体" w:eastAsia="宋体"/>
          <w:color w:val="auto"/>
          <w:sz w:val="21"/>
          <w:szCs w:val="21"/>
          <w:highlight w:val="none"/>
        </w:rPr>
        <w:t>.《残疾人福利性单位声明函》（残疾人福利性单位适用）</w:t>
      </w:r>
      <w:bookmarkEnd w:id="172"/>
    </w:p>
    <w:p>
      <w:pPr>
        <w:pageBreakBefore w:val="0"/>
        <w:kinsoku/>
        <w:topLinePunct w:val="0"/>
        <w:autoSpaceDE/>
        <w:autoSpaceDN/>
        <w:bidi w:val="0"/>
        <w:spacing w:line="360" w:lineRule="auto"/>
        <w:jc w:val="center"/>
        <w:rPr>
          <w:color w:val="auto"/>
          <w:highlight w:val="none"/>
        </w:rPr>
      </w:pPr>
    </w:p>
    <w:p>
      <w:pPr>
        <w:pageBreakBefore w:val="0"/>
        <w:kinsoku/>
        <w:topLinePunct w:val="0"/>
        <w:autoSpaceDE/>
        <w:autoSpaceDN/>
        <w:bidi w:val="0"/>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残疾人福利性单位声明函</w:t>
      </w: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本单位对上述声明的真实性负责。如有虚假，将依法承担相应责任。</w:t>
      </w:r>
    </w:p>
    <w:p>
      <w:pPr>
        <w:pageBreakBefore w:val="0"/>
        <w:kinsoku/>
        <w:topLinePunct w:val="0"/>
        <w:autoSpaceDE/>
        <w:autoSpaceDN/>
        <w:bidi w:val="0"/>
        <w:spacing w:after="0" w:line="360" w:lineRule="auto"/>
        <w:jc w:val="right"/>
        <w:rPr>
          <w:rFonts w:ascii="宋体" w:hAnsi="宋体" w:eastAsia="宋体"/>
          <w:color w:val="auto"/>
          <w:sz w:val="21"/>
          <w:szCs w:val="21"/>
          <w:highlight w:val="none"/>
        </w:rPr>
      </w:pPr>
    </w:p>
    <w:p>
      <w:pPr>
        <w:pageBreakBefore w:val="0"/>
        <w:kinsoku/>
        <w:topLinePunct w:val="0"/>
        <w:autoSpaceDE/>
        <w:autoSpaceDN/>
        <w:bidi w:val="0"/>
        <w:spacing w:after="0" w:line="360" w:lineRule="auto"/>
        <w:jc w:val="right"/>
        <w:rPr>
          <w:rFonts w:ascii="宋体" w:hAnsi="宋体" w:eastAsia="宋体"/>
          <w:color w:val="auto"/>
          <w:sz w:val="21"/>
          <w:szCs w:val="21"/>
          <w:highlight w:val="none"/>
        </w:rPr>
      </w:pPr>
      <w:r>
        <w:rPr>
          <w:rFonts w:hint="eastAsia" w:ascii="宋体" w:hAnsi="宋体" w:eastAsia="宋体"/>
          <w:color w:val="auto"/>
          <w:sz w:val="21"/>
          <w:szCs w:val="21"/>
          <w:highlight w:val="none"/>
        </w:rPr>
        <w:t>单位名称（盖章）：</w:t>
      </w:r>
      <w:bookmarkStart w:id="173" w:name="_Toc30247"/>
      <w:bookmarkStart w:id="174" w:name="_Toc22970"/>
      <w:bookmarkStart w:id="175" w:name="_Toc17761"/>
      <w:bookmarkStart w:id="176" w:name="_Toc508958703"/>
      <w:bookmarkStart w:id="177" w:name="_Toc20910"/>
      <w:bookmarkStart w:id="178" w:name="_Toc508960153"/>
      <w:bookmarkStart w:id="179" w:name="_Toc509927455"/>
      <w:bookmarkStart w:id="180" w:name="_Toc510171693"/>
      <w:bookmarkStart w:id="181" w:name="_Toc508898066"/>
      <w:bookmarkStart w:id="182" w:name="_Toc509479530"/>
      <w:bookmarkStart w:id="183" w:name="_Toc509844825"/>
      <w:bookmarkStart w:id="184" w:name="_Toc30277"/>
    </w:p>
    <w:p>
      <w:pPr>
        <w:pageBreakBefore w:val="0"/>
        <w:kinsoku/>
        <w:topLinePunct w:val="0"/>
        <w:autoSpaceDE/>
        <w:autoSpaceDN/>
        <w:bidi w:val="0"/>
        <w:spacing w:after="0" w:line="360" w:lineRule="auto"/>
        <w:jc w:val="right"/>
        <w:rPr>
          <w:rFonts w:ascii="宋体" w:hAnsi="宋体" w:eastAsia="宋体"/>
          <w:color w:val="auto"/>
          <w:sz w:val="21"/>
          <w:szCs w:val="21"/>
          <w:highlight w:val="none"/>
        </w:rPr>
      </w:pPr>
    </w:p>
    <w:p>
      <w:pPr>
        <w:pageBreakBefore w:val="0"/>
        <w:kinsoku/>
        <w:topLinePunct w:val="0"/>
        <w:autoSpaceDE/>
        <w:autoSpaceDN/>
        <w:bidi w:val="0"/>
        <w:spacing w:after="0" w:line="360" w:lineRule="auto"/>
        <w:jc w:val="right"/>
        <w:rPr>
          <w:rFonts w:ascii="宋体" w:hAnsi="宋体" w:eastAsia="宋体"/>
          <w:color w:val="auto"/>
          <w:sz w:val="21"/>
          <w:szCs w:val="21"/>
          <w:highlight w:val="none"/>
        </w:rPr>
      </w:pPr>
      <w:r>
        <w:rPr>
          <w:rFonts w:hint="eastAsia" w:ascii="宋体" w:hAnsi="宋体" w:eastAsia="宋体"/>
          <w:color w:val="auto"/>
          <w:sz w:val="21"/>
          <w:szCs w:val="21"/>
          <w:highlight w:val="none"/>
        </w:rPr>
        <w:t>日  期：</w:t>
      </w:r>
      <w:bookmarkEnd w:id="173"/>
      <w:bookmarkEnd w:id="174"/>
      <w:bookmarkEnd w:id="175"/>
      <w:bookmarkEnd w:id="176"/>
      <w:bookmarkEnd w:id="177"/>
      <w:bookmarkEnd w:id="178"/>
      <w:bookmarkEnd w:id="179"/>
      <w:bookmarkEnd w:id="180"/>
      <w:bookmarkEnd w:id="181"/>
      <w:bookmarkEnd w:id="182"/>
      <w:bookmarkEnd w:id="183"/>
      <w:bookmarkEnd w:id="184"/>
    </w:p>
    <w:p>
      <w:pPr>
        <w:pStyle w:val="2"/>
        <w:pageBreakBefore w:val="0"/>
        <w:kinsoku/>
        <w:topLinePunct w:val="0"/>
        <w:autoSpaceDE/>
        <w:autoSpaceDN/>
        <w:bidi w:val="0"/>
        <w:spacing w:line="360" w:lineRule="auto"/>
        <w:rPr>
          <w:color w:val="auto"/>
          <w:highlight w:val="none"/>
        </w:rPr>
      </w:pPr>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bookmarkStart w:id="185" w:name="_Toc509479531"/>
      <w:bookmarkStart w:id="186" w:name="_Toc28527"/>
      <w:bookmarkStart w:id="187" w:name="_Toc5447"/>
      <w:bookmarkStart w:id="188" w:name="_Toc21053"/>
      <w:bookmarkStart w:id="189" w:name="_Toc508960154"/>
      <w:bookmarkStart w:id="190" w:name="_Toc510171694"/>
      <w:bookmarkStart w:id="191" w:name="_Toc508898067"/>
      <w:bookmarkStart w:id="192" w:name="_Toc509844826"/>
      <w:bookmarkStart w:id="193" w:name="_Toc508958704"/>
      <w:bookmarkStart w:id="194" w:name="_Toc26216"/>
      <w:bookmarkStart w:id="195" w:name="_Toc509927456"/>
      <w:bookmarkStart w:id="196" w:name="_Toc31520"/>
      <w:r>
        <w:rPr>
          <w:rFonts w:hint="eastAsia" w:ascii="宋体" w:hAnsi="宋体" w:eastAsia="宋体"/>
          <w:color w:val="auto"/>
          <w:sz w:val="21"/>
          <w:szCs w:val="21"/>
          <w:highlight w:val="none"/>
        </w:rPr>
        <w:t>注：（1）符合《财政部 民政部 中国残疾人联合会关于促进残疾人就业政府采购政策的通知》（财库〔2017〕 141号）规定条件的残疾人福利性单位应当提供《残疾人福利性单位声明函》。</w:t>
      </w:r>
      <w:bookmarkEnd w:id="185"/>
      <w:bookmarkEnd w:id="186"/>
      <w:bookmarkEnd w:id="187"/>
      <w:bookmarkEnd w:id="188"/>
      <w:bookmarkEnd w:id="189"/>
      <w:bookmarkEnd w:id="190"/>
      <w:bookmarkEnd w:id="191"/>
      <w:bookmarkEnd w:id="192"/>
      <w:bookmarkEnd w:id="193"/>
      <w:bookmarkEnd w:id="194"/>
      <w:bookmarkEnd w:id="195"/>
      <w:bookmarkEnd w:id="196"/>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bookmarkStart w:id="197" w:name="_Toc508898068"/>
      <w:bookmarkStart w:id="198" w:name="_Toc509479532"/>
      <w:bookmarkStart w:id="199" w:name="_Toc9148"/>
      <w:bookmarkStart w:id="200" w:name="_Toc509927457"/>
      <w:bookmarkStart w:id="201" w:name="_Toc14653"/>
      <w:bookmarkStart w:id="202" w:name="_Toc510171695"/>
      <w:bookmarkStart w:id="203" w:name="_Toc508960155"/>
      <w:bookmarkStart w:id="204" w:name="_Toc509844827"/>
      <w:bookmarkStart w:id="205" w:name="_Toc28626"/>
      <w:bookmarkStart w:id="206" w:name="_Toc508958705"/>
      <w:bookmarkStart w:id="207" w:name="_Toc28126"/>
      <w:bookmarkStart w:id="208" w:name="_Toc24848"/>
      <w:r>
        <w:rPr>
          <w:rFonts w:hint="eastAsia" w:ascii="宋体" w:hAnsi="宋体" w:eastAsia="宋体"/>
          <w:color w:val="auto"/>
          <w:sz w:val="21"/>
          <w:szCs w:val="21"/>
          <w:highlight w:val="none"/>
        </w:rPr>
        <w:t>（2）中标人为残疾人福利性单位的，采购代理机构将随中标结果同时公告其《残疾人福利性单位声明函》，接受社会监督。</w:t>
      </w:r>
      <w:bookmarkEnd w:id="197"/>
      <w:bookmarkEnd w:id="198"/>
      <w:bookmarkEnd w:id="199"/>
      <w:bookmarkEnd w:id="200"/>
      <w:bookmarkEnd w:id="201"/>
      <w:bookmarkEnd w:id="202"/>
      <w:bookmarkEnd w:id="203"/>
      <w:bookmarkEnd w:id="204"/>
      <w:bookmarkEnd w:id="205"/>
      <w:bookmarkEnd w:id="206"/>
      <w:bookmarkEnd w:id="207"/>
      <w:bookmarkEnd w:id="208"/>
    </w:p>
    <w:p>
      <w:pPr>
        <w:pageBreakBefore w:val="0"/>
        <w:kinsoku/>
        <w:topLinePunct w:val="0"/>
        <w:autoSpaceDE/>
        <w:autoSpaceDN/>
        <w:bidi w:val="0"/>
        <w:spacing w:after="0" w:line="360" w:lineRule="auto"/>
        <w:ind w:firstLine="420" w:firstLineChars="200"/>
        <w:rPr>
          <w:rFonts w:ascii="宋体" w:hAnsi="宋体" w:eastAsia="宋体"/>
          <w:color w:val="auto"/>
          <w:sz w:val="21"/>
          <w:szCs w:val="21"/>
          <w:highlight w:val="none"/>
        </w:rPr>
      </w:pPr>
      <w:bookmarkStart w:id="209" w:name="_Toc508960156"/>
      <w:bookmarkStart w:id="210" w:name="_Toc508898069"/>
      <w:bookmarkStart w:id="211" w:name="_Toc508958706"/>
      <w:bookmarkStart w:id="212" w:name="_Toc510171696"/>
      <w:bookmarkStart w:id="213" w:name="_Toc28044"/>
      <w:bookmarkStart w:id="214" w:name="_Toc509844828"/>
      <w:bookmarkStart w:id="215" w:name="_Toc28686"/>
      <w:bookmarkStart w:id="216" w:name="_Toc509479533"/>
      <w:bookmarkStart w:id="217" w:name="_Toc509927458"/>
      <w:bookmarkStart w:id="218" w:name="_Toc22981"/>
      <w:bookmarkStart w:id="219" w:name="_Toc7858"/>
      <w:bookmarkStart w:id="220" w:name="_Toc9837"/>
      <w:r>
        <w:rPr>
          <w:rFonts w:hint="eastAsia" w:ascii="宋体" w:hAnsi="宋体" w:eastAsia="宋体"/>
          <w:color w:val="auto"/>
          <w:sz w:val="21"/>
          <w:szCs w:val="21"/>
          <w:highlight w:val="none"/>
        </w:rPr>
        <w:t>（3）投标人提供的《残疾人福利性单位声明函》与事实不符的，依照《政府采购法》第七十七条第一款的规定追究法律责任。</w:t>
      </w:r>
      <w:bookmarkEnd w:id="209"/>
      <w:bookmarkEnd w:id="210"/>
      <w:bookmarkEnd w:id="211"/>
      <w:bookmarkEnd w:id="212"/>
      <w:bookmarkEnd w:id="213"/>
      <w:bookmarkEnd w:id="214"/>
      <w:bookmarkEnd w:id="215"/>
      <w:bookmarkEnd w:id="216"/>
      <w:bookmarkEnd w:id="217"/>
      <w:bookmarkEnd w:id="218"/>
      <w:bookmarkEnd w:id="219"/>
      <w:bookmarkEnd w:id="220"/>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rPr>
      </w:pPr>
      <w:bookmarkStart w:id="221" w:name="_Toc509927459"/>
      <w:bookmarkStart w:id="222" w:name="_Toc510171697"/>
      <w:bookmarkStart w:id="223" w:name="_Toc508898070"/>
      <w:bookmarkStart w:id="224" w:name="_Toc509844829"/>
      <w:bookmarkStart w:id="225" w:name="_Toc5289"/>
      <w:bookmarkStart w:id="226" w:name="_Toc509479534"/>
      <w:bookmarkStart w:id="227" w:name="_Toc18843"/>
      <w:bookmarkStart w:id="228" w:name="_Toc508958707"/>
      <w:bookmarkStart w:id="229" w:name="_Toc508960157"/>
      <w:r>
        <w:rPr>
          <w:rFonts w:hint="eastAsia" w:ascii="宋体" w:hAnsi="宋体" w:eastAsia="宋体"/>
          <w:color w:val="auto"/>
          <w:sz w:val="21"/>
          <w:szCs w:val="21"/>
          <w:highlight w:val="none"/>
        </w:rPr>
        <w:t>（4）残疾人福利性单位视同小型、微型企业，享受评审中价格扣除。残疾人福利性单位属于小型、微型企业的，不重复享受政策。</w:t>
      </w:r>
      <w:bookmarkEnd w:id="221"/>
      <w:bookmarkEnd w:id="222"/>
      <w:bookmarkEnd w:id="223"/>
      <w:bookmarkEnd w:id="224"/>
      <w:bookmarkEnd w:id="225"/>
      <w:bookmarkEnd w:id="226"/>
      <w:bookmarkEnd w:id="227"/>
      <w:bookmarkEnd w:id="228"/>
      <w:bookmarkEnd w:id="229"/>
    </w:p>
    <w:p>
      <w:pPr>
        <w:pageBreakBefore w:val="0"/>
        <w:kinsoku/>
        <w:topLinePunct w:val="0"/>
        <w:autoSpaceDE/>
        <w:autoSpaceDN/>
        <w:bidi w:val="0"/>
        <w:spacing w:after="0" w:line="360" w:lineRule="auto"/>
        <w:ind w:firstLine="422" w:firstLineChars="200"/>
        <w:rPr>
          <w:rFonts w:hint="eastAsia" w:ascii="宋体" w:hAnsi="宋体" w:eastAsia="宋体"/>
          <w:b/>
          <w:bCs/>
          <w:color w:val="auto"/>
          <w:sz w:val="21"/>
          <w:szCs w:val="21"/>
          <w:highlight w:val="none"/>
          <w:lang w:eastAsia="zh-CN"/>
        </w:rPr>
      </w:pPr>
      <w:r>
        <w:rPr>
          <w:rFonts w:hint="eastAsia" w:ascii="宋体" w:hAnsi="宋体" w:eastAsia="宋体"/>
          <w:b/>
          <w:bCs/>
          <w:color w:val="auto"/>
          <w:sz w:val="21"/>
          <w:szCs w:val="21"/>
          <w:highlight w:val="none"/>
          <w:lang w:eastAsia="zh-CN"/>
        </w:rPr>
        <w:t>（</w:t>
      </w:r>
      <w:r>
        <w:rPr>
          <w:rFonts w:hint="eastAsia" w:ascii="宋体" w:hAnsi="宋体" w:eastAsia="宋体"/>
          <w:b/>
          <w:bCs/>
          <w:color w:val="auto"/>
          <w:sz w:val="21"/>
          <w:szCs w:val="21"/>
          <w:highlight w:val="none"/>
          <w:lang w:val="en-US" w:eastAsia="zh-CN"/>
        </w:rPr>
        <w:t>5</w:t>
      </w:r>
      <w:r>
        <w:rPr>
          <w:rFonts w:hint="eastAsia" w:ascii="宋体" w:hAnsi="宋体" w:eastAsia="宋体"/>
          <w:b/>
          <w:bCs/>
          <w:color w:val="auto"/>
          <w:sz w:val="21"/>
          <w:szCs w:val="21"/>
          <w:highlight w:val="none"/>
          <w:lang w:eastAsia="zh-CN"/>
        </w:rPr>
        <w:t>）</w:t>
      </w:r>
      <w:r>
        <w:rPr>
          <w:rFonts w:hint="eastAsia" w:ascii="宋体" w:hAnsi="宋体" w:eastAsia="宋体"/>
          <w:b/>
          <w:bCs/>
          <w:color w:val="auto"/>
          <w:sz w:val="21"/>
          <w:szCs w:val="21"/>
          <w:highlight w:val="none"/>
        </w:rPr>
        <w:t>若投标人不属于规定的残疾人福利性单位，或提供的产品不是</w:t>
      </w:r>
      <w:r>
        <w:rPr>
          <w:rFonts w:hint="eastAsia" w:ascii="宋体" w:hAnsi="宋体" w:eastAsia="宋体"/>
          <w:b/>
          <w:bCs/>
          <w:color w:val="auto"/>
          <w:sz w:val="21"/>
          <w:szCs w:val="21"/>
          <w:highlight w:val="none"/>
          <w:lang w:eastAsia="zh-CN"/>
        </w:rPr>
        <w:t>残疾人福利单位</w:t>
      </w:r>
      <w:r>
        <w:rPr>
          <w:rFonts w:hint="eastAsia" w:ascii="宋体" w:hAnsi="宋体" w:eastAsia="宋体"/>
          <w:b/>
          <w:bCs/>
          <w:color w:val="auto"/>
          <w:sz w:val="21"/>
          <w:szCs w:val="21"/>
          <w:highlight w:val="none"/>
        </w:rPr>
        <w:t>制造的，</w:t>
      </w:r>
      <w:r>
        <w:rPr>
          <w:rFonts w:hint="eastAsia" w:ascii="宋体" w:hAnsi="宋体" w:eastAsia="宋体"/>
          <w:b/>
          <w:bCs/>
          <w:color w:val="auto"/>
          <w:sz w:val="21"/>
          <w:szCs w:val="21"/>
          <w:highlight w:val="none"/>
          <w:lang w:eastAsia="zh-CN"/>
        </w:rPr>
        <w:t>则无需提供此表</w:t>
      </w:r>
      <w:r>
        <w:rPr>
          <w:rFonts w:hint="eastAsia" w:ascii="宋体" w:hAnsi="宋体" w:eastAsia="宋体"/>
          <w:b/>
          <w:bCs/>
          <w:color w:val="auto"/>
          <w:sz w:val="21"/>
          <w:szCs w:val="21"/>
          <w:highlight w:val="none"/>
        </w:rPr>
        <w:t>。</w:t>
      </w:r>
    </w:p>
    <w:p>
      <w:pPr>
        <w:pageBreakBefore w:val="0"/>
        <w:kinsoku/>
        <w:topLinePunct w:val="0"/>
        <w:autoSpaceDE/>
        <w:autoSpaceDN/>
        <w:bidi w:val="0"/>
        <w:adjustRightInd/>
        <w:snapToGrid/>
        <w:spacing w:line="360" w:lineRule="auto"/>
        <w:rPr>
          <w:rFonts w:ascii="宋体" w:hAnsi="宋体" w:eastAsia="宋体"/>
          <w:bCs/>
          <w:color w:val="auto"/>
          <w:sz w:val="21"/>
          <w:szCs w:val="21"/>
          <w:highlight w:val="none"/>
        </w:rPr>
      </w:pPr>
      <w:r>
        <w:rPr>
          <w:rFonts w:hint="eastAsia" w:ascii="宋体" w:hAnsi="宋体" w:eastAsia="宋体"/>
          <w:bCs/>
          <w:color w:val="auto"/>
          <w:sz w:val="21"/>
          <w:szCs w:val="21"/>
          <w:highlight w:val="none"/>
        </w:rPr>
        <w:br w:type="page"/>
      </w:r>
    </w:p>
    <w:p>
      <w:pPr>
        <w:pStyle w:val="5"/>
        <w:pageBreakBefore w:val="0"/>
        <w:widowControl w:val="0"/>
        <w:kinsoku/>
        <w:overflowPunct w:val="0"/>
        <w:topLinePunct w:val="0"/>
        <w:autoSpaceDE/>
        <w:autoSpaceDN/>
        <w:bidi w:val="0"/>
        <w:spacing w:before="0" w:after="0" w:line="360" w:lineRule="auto"/>
        <w:rPr>
          <w:rFonts w:hint="eastAsia" w:ascii="宋体" w:hAnsi="宋体" w:eastAsia="宋体"/>
          <w:color w:val="auto"/>
          <w:sz w:val="21"/>
          <w:szCs w:val="21"/>
          <w:highlight w:val="none"/>
        </w:rPr>
      </w:pPr>
      <w:bookmarkStart w:id="230" w:name="_Toc15531"/>
      <w:r>
        <w:rPr>
          <w:rFonts w:hint="eastAsia" w:ascii="宋体" w:hAnsi="宋体" w:eastAsia="宋体"/>
          <w:color w:val="auto"/>
          <w:sz w:val="21"/>
          <w:szCs w:val="21"/>
          <w:highlight w:val="none"/>
        </w:rPr>
        <w:t>附件</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 联合体共同投标协议书（可选）</w:t>
      </w:r>
      <w:bookmarkEnd w:id="230"/>
    </w:p>
    <w:p>
      <w:pPr>
        <w:pageBreakBefore w:val="0"/>
        <w:widowControl/>
        <w:kinsoku/>
        <w:topLinePunct w:val="0"/>
        <w:autoSpaceDE/>
        <w:autoSpaceDN/>
        <w:bidi w:val="0"/>
        <w:adjustRightInd w:val="0"/>
        <w:snapToGrid w:val="0"/>
        <w:spacing w:line="360" w:lineRule="auto"/>
        <w:jc w:val="center"/>
        <w:rPr>
          <w:rFonts w:hint="eastAsia" w:ascii="黑体" w:hAnsi="黑体" w:eastAsia="黑体" w:cs="黑体"/>
          <w:b w:val="0"/>
          <w:bCs/>
          <w:color w:val="auto"/>
          <w:kern w:val="0"/>
          <w:sz w:val="28"/>
          <w:szCs w:val="28"/>
          <w:highlight w:val="none"/>
        </w:rPr>
      </w:pPr>
      <w:r>
        <w:rPr>
          <w:rFonts w:hint="eastAsia" w:ascii="黑体" w:hAnsi="黑体" w:eastAsia="黑体" w:cs="黑体"/>
          <w:b w:val="0"/>
          <w:bCs/>
          <w:color w:val="auto"/>
          <w:kern w:val="0"/>
          <w:sz w:val="28"/>
          <w:szCs w:val="28"/>
          <w:highlight w:val="none"/>
        </w:rPr>
        <w:t>联合体共同投标协议书</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立约方：（甲公司全称）</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（乙公司全称）</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（……公司全称）</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（甲公司全称）、（乙公司全称）、（……公司全称）自愿组成联合体，以一个投标供应商的身份共同参加（采购项目名称） （采购项目编号）的响应活动。经各方充分协商一致，就项目的响应和合同实施阶段的有关事务协商一致订立协议如下：</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一、联合体各方关系</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甲公司全称）、（乙公司全称）、（……公司全称）共同组成一个联合体，以一个投标供应商的身份共同参加本项目的响应。（甲公司全称）、（乙公司全称）、（……公司全称）作为联合体成员，若中标，联合体各方共同与（采购人）签订政府采购合同。</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二、联合体内部有关事项约定如下：</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1.          作为联合体的牵头单位，代表联合体双方负责投标和合同实施阶段的主办、协调工作。</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2. 联合体将严格按照文件的各项要求，递交投标文件，切实执行一切合同文件，共同承担合同规定的一切义务和责任，同时按照内部职责的划分，承担自身所负的责任和风险，在法律在承担连带责任。</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3. 如果本联合体中标，（甲公司全称）负责本项目            部分，（乙公司全称）负责本项目              部分。</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4.如中标，联合体各方共同与（采购人）签订合同书，并就中标项目向采购人负责有连带的和各自的法律责任；</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5.联合体成员　（公司全称）　为（请填写：小型、微型）企业，将承担合同总金额　　%的工作内容（联合体成员中有小型、微型企业时适用）。</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四、联合体如因违约过失责任而导致采购人经济损失或被索赔时，本联合体任何一方均同意无条件优先清偿采购人的一切债务和经济赔偿。</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五、本协议在自签署之日起生效，有效期内有效，如获中标资格，合同有效期延续至合同履行完毕之日。</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六、本协议书正本一式  份，随投标文件装订   份，送采购人   份，联合体成员各一份；副本一式   份，联合体成员各执    份。</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 xml:space="preserve">甲公司全称：（盖章） </w:t>
      </w:r>
      <w:r>
        <w:rPr>
          <w:rFonts w:hint="eastAsia" w:ascii="宋体" w:hAnsi="宋体" w:eastAsia="宋体"/>
          <w:color w:val="auto"/>
          <w:sz w:val="21"/>
          <w:szCs w:val="21"/>
          <w:highlight w:val="none"/>
          <w:lang w:eastAsia="zh-CN"/>
        </w:rPr>
        <w:tab/>
      </w:r>
      <w:r>
        <w:rPr>
          <w:rFonts w:hint="eastAsia" w:ascii="宋体" w:hAnsi="宋体" w:eastAsia="宋体"/>
          <w:color w:val="auto"/>
          <w:sz w:val="21"/>
          <w:szCs w:val="21"/>
          <w:highlight w:val="none"/>
          <w:lang w:eastAsia="zh-CN"/>
        </w:rPr>
        <w:t>乙公司全称：（盖章）</w:t>
      </w:r>
      <w:r>
        <w:rPr>
          <w:rFonts w:hint="eastAsia" w:ascii="宋体" w:hAnsi="宋体" w:eastAsia="宋体"/>
          <w:color w:val="auto"/>
          <w:sz w:val="21"/>
          <w:szCs w:val="21"/>
          <w:highlight w:val="none"/>
          <w:lang w:eastAsia="zh-CN"/>
        </w:rPr>
        <w:tab/>
      </w:r>
      <w:r>
        <w:rPr>
          <w:rFonts w:hint="eastAsia" w:ascii="宋体" w:hAnsi="宋体" w:eastAsia="宋体"/>
          <w:color w:val="auto"/>
          <w:sz w:val="21"/>
          <w:szCs w:val="21"/>
          <w:highlight w:val="none"/>
          <w:lang w:eastAsia="zh-CN"/>
        </w:rPr>
        <w:t>……公司全称（盖章）</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 xml:space="preserve">法定代表人：（签字或盖章） </w:t>
      </w:r>
      <w:r>
        <w:rPr>
          <w:rFonts w:hint="eastAsia" w:ascii="宋体" w:hAnsi="宋体" w:eastAsia="宋体"/>
          <w:color w:val="auto"/>
          <w:sz w:val="21"/>
          <w:szCs w:val="21"/>
          <w:highlight w:val="none"/>
          <w:lang w:eastAsia="zh-CN"/>
        </w:rPr>
        <w:tab/>
      </w:r>
      <w:r>
        <w:rPr>
          <w:rFonts w:hint="eastAsia" w:ascii="宋体" w:hAnsi="宋体" w:eastAsia="宋体"/>
          <w:color w:val="auto"/>
          <w:sz w:val="21"/>
          <w:szCs w:val="21"/>
          <w:highlight w:val="none"/>
          <w:lang w:eastAsia="zh-CN"/>
        </w:rPr>
        <w:t>法定代表人（签字或盖章）</w:t>
      </w:r>
      <w:r>
        <w:rPr>
          <w:rFonts w:hint="eastAsia" w:ascii="宋体" w:hAnsi="宋体" w:eastAsia="宋体"/>
          <w:color w:val="auto"/>
          <w:sz w:val="21"/>
          <w:szCs w:val="21"/>
          <w:highlight w:val="none"/>
          <w:lang w:eastAsia="zh-CN"/>
        </w:rPr>
        <w:tab/>
      </w:r>
      <w:r>
        <w:rPr>
          <w:rFonts w:hint="eastAsia" w:ascii="宋体" w:hAnsi="宋体" w:eastAsia="宋体"/>
          <w:color w:val="auto"/>
          <w:sz w:val="21"/>
          <w:szCs w:val="21"/>
          <w:highlight w:val="none"/>
          <w:lang w:eastAsia="zh-CN"/>
        </w:rPr>
        <w:t xml:space="preserve"> 法定代表人（签字或盖章）</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　　年　　月　　日</w:t>
      </w:r>
      <w:r>
        <w:rPr>
          <w:rFonts w:hint="eastAsia" w:ascii="宋体" w:hAnsi="宋体" w:eastAsia="宋体"/>
          <w:color w:val="auto"/>
          <w:sz w:val="21"/>
          <w:szCs w:val="21"/>
          <w:highlight w:val="none"/>
          <w:lang w:eastAsia="zh-CN"/>
        </w:rPr>
        <w:tab/>
      </w:r>
      <w:r>
        <w:rPr>
          <w:rFonts w:hint="eastAsia" w:ascii="宋体" w:hAnsi="宋体" w:eastAsia="宋体"/>
          <w:color w:val="auto"/>
          <w:sz w:val="21"/>
          <w:szCs w:val="21"/>
          <w:highlight w:val="none"/>
          <w:lang w:eastAsia="zh-CN"/>
        </w:rPr>
        <w:t>　　年　　月　　日</w:t>
      </w:r>
      <w:r>
        <w:rPr>
          <w:rFonts w:hint="eastAsia" w:ascii="宋体" w:hAnsi="宋体" w:eastAsia="宋体"/>
          <w:color w:val="auto"/>
          <w:sz w:val="21"/>
          <w:szCs w:val="21"/>
          <w:highlight w:val="none"/>
          <w:lang w:eastAsia="zh-CN"/>
        </w:rPr>
        <w:tab/>
      </w:r>
      <w:r>
        <w:rPr>
          <w:rFonts w:hint="eastAsia" w:ascii="宋体" w:hAnsi="宋体" w:eastAsia="宋体"/>
          <w:color w:val="auto"/>
          <w:sz w:val="21"/>
          <w:szCs w:val="21"/>
          <w:highlight w:val="none"/>
          <w:lang w:eastAsia="zh-CN"/>
        </w:rPr>
        <w:t>　　年　　月　　日</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注：1．联合投标时需签本协议，联合体各方成员应在本协议上共同盖章确认。</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lang w:eastAsia="zh-CN"/>
        </w:rPr>
        <w:t>2．本协议内容不得擅自修改。此协议将作为签订合同的附件之一。</w:t>
      </w:r>
      <w:r>
        <w:rPr>
          <w:rFonts w:hint="eastAsia" w:ascii="宋体" w:hAnsi="宋体" w:eastAsia="宋体"/>
          <w:color w:val="auto"/>
          <w:sz w:val="21"/>
          <w:szCs w:val="21"/>
          <w:highlight w:val="none"/>
        </w:rPr>
        <w:br w:type="page"/>
      </w:r>
    </w:p>
    <w:p>
      <w:pPr>
        <w:pStyle w:val="5"/>
        <w:pageBreakBefore w:val="0"/>
        <w:widowControl w:val="0"/>
        <w:kinsoku/>
        <w:overflowPunct w:val="0"/>
        <w:topLinePunct w:val="0"/>
        <w:autoSpaceDE/>
        <w:autoSpaceDN/>
        <w:bidi w:val="0"/>
        <w:spacing w:before="0" w:after="0" w:line="360" w:lineRule="auto"/>
        <w:rPr>
          <w:color w:val="auto"/>
          <w:highlight w:val="none"/>
        </w:rPr>
      </w:pPr>
      <w:bookmarkStart w:id="231" w:name="_Toc29119"/>
      <w:r>
        <w:rPr>
          <w:rFonts w:hint="eastAsia" w:ascii="宋体" w:hAnsi="宋体" w:eastAsia="宋体"/>
          <w:color w:val="auto"/>
          <w:sz w:val="21"/>
          <w:szCs w:val="21"/>
          <w:highlight w:val="none"/>
        </w:rPr>
        <w:t>附件</w:t>
      </w:r>
      <w:r>
        <w:rPr>
          <w:rFonts w:hint="eastAsia" w:ascii="宋体" w:hAnsi="宋体" w:eastAsia="宋体"/>
          <w:color w:val="auto"/>
          <w:sz w:val="21"/>
          <w:szCs w:val="21"/>
          <w:highlight w:val="none"/>
          <w:lang w:val="en-US" w:eastAsia="zh-CN"/>
        </w:rPr>
        <w:t>4</w:t>
      </w:r>
      <w:r>
        <w:rPr>
          <w:rFonts w:hint="eastAsia" w:ascii="宋体" w:hAnsi="宋体" w:eastAsia="宋体"/>
          <w:color w:val="auto"/>
          <w:sz w:val="21"/>
          <w:szCs w:val="21"/>
          <w:highlight w:val="none"/>
        </w:rPr>
        <w:t>. 分包意向协议书（可选）</w:t>
      </w:r>
      <w:bookmarkEnd w:id="231"/>
    </w:p>
    <w:p>
      <w:pPr>
        <w:pageBreakBefore w:val="0"/>
        <w:kinsoku/>
        <w:topLinePunct w:val="0"/>
        <w:autoSpaceDE/>
        <w:autoSpaceDN/>
        <w:bidi w:val="0"/>
        <w:spacing w:line="360" w:lineRule="auto"/>
        <w:jc w:val="center"/>
        <w:rPr>
          <w:rFonts w:hint="eastAsia" w:ascii="黑体" w:hAnsi="黑体" w:eastAsia="黑体" w:cs="黑体"/>
          <w:b w:val="0"/>
          <w:bCs/>
          <w:color w:val="auto"/>
          <w:kern w:val="10"/>
          <w:sz w:val="28"/>
          <w:szCs w:val="28"/>
          <w:highlight w:val="none"/>
        </w:rPr>
      </w:pPr>
      <w:r>
        <w:rPr>
          <w:rFonts w:hint="eastAsia" w:ascii="黑体" w:hAnsi="黑体" w:eastAsia="黑体" w:cs="黑体"/>
          <w:b w:val="0"/>
          <w:bCs/>
          <w:color w:val="auto"/>
          <w:sz w:val="28"/>
          <w:szCs w:val="28"/>
          <w:highlight w:val="none"/>
        </w:rPr>
        <w:t>分包意向协议书</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立约方：（甲公司全称）</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（乙公司全称）</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（……公司全称）</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（甲公司全称）、（乙公司全称）、（……公司全称）自愿达成分包意向，参加（采购项目名称） （采购项目编号）的响应活动。经各方充分协商一致，就项目的响应和合同实施阶段的有关事务协商一致订立意向如下：</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一、分包意向各方关系</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甲公司全称）为投标方、（乙公司全称）、（……公司全称）为分包意向供应商，（甲公司全称）以投标供应商的身份参加本项目的响应。若中标，（甲公司全称）与采购人签订政府采购合同。承接分包意向的各供应商与（甲公司全称）签订分包合同。（甲公司全称）就采购项目和分包项目向采购人负责，分包供应商就分包项目承担责任。</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二、有关事项约定如下：</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1.如中标，分包供应商分别与（甲公司全称）签订合同书，并就中标项目分包部分向采购人负责有连带的和各自的法律责任；</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2.分包意向供应商1　（公司全称）　为（请填写：大型、中型、小型、微型）企业，将承担适宜分包部分 （具体分包内容）合同总金额　　%的工作内容。</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3.分包意向供应商2　（公司全称）　为（请填写：大型、中型、小型、微型）企业，将承担适宜分包部分（具体分包内容）合同总金额　　%的工作内容。</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4.分包意向供应商3　（公司全称）　为（请填写：大型、中型、小型、微型）企业，将承担适宜分包部分（具体分包内容）合同总金额　　%的工作内容。</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三、接受分包合同的中小企业与分包企业之间（请填写：是否存在）直接控股、管理关系的情形。（分包中有中小企业时适用   ）</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四、如因违约过失责任而导致采购人经济损失或被索赔时，（甲公司全称）同意无条件优先清偿采购人的一切债务和经济赔偿。</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五、如中标，分包意向供应商不得以任何理由提出终止本意向协议。</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六、本意向书在自签署之日起生效，有效期内有效，如获中标资格，有效期延续至合同履行完毕之日。</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七、本意向书正本一式  份，随投标文件装订   份，（甲公司全称）及各分包意向供应商各一份。</w:t>
      </w: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color w:val="auto"/>
          <w:kern w:val="0"/>
          <w:sz w:val="20"/>
          <w:szCs w:val="18"/>
          <w:highlight w:val="none"/>
        </w:rPr>
      </w:pP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color w:val="auto"/>
          <w:kern w:val="0"/>
          <w:sz w:val="20"/>
          <w:szCs w:val="18"/>
          <w:highlight w:val="none"/>
        </w:rPr>
      </w:pP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color w:val="auto"/>
          <w:kern w:val="0"/>
          <w:sz w:val="20"/>
          <w:szCs w:val="18"/>
          <w:highlight w:val="none"/>
        </w:rPr>
      </w:pP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color w:val="auto"/>
          <w:kern w:val="0"/>
          <w:sz w:val="20"/>
          <w:szCs w:val="18"/>
          <w:highlight w:val="none"/>
        </w:rPr>
      </w:pP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 xml:space="preserve">甲公司全称：（盖章） </w:t>
      </w:r>
      <w:r>
        <w:rPr>
          <w:rFonts w:hint="eastAsia" w:ascii="宋体" w:hAnsi="宋体" w:eastAsia="宋体"/>
          <w:color w:val="auto"/>
          <w:sz w:val="21"/>
          <w:szCs w:val="21"/>
          <w:highlight w:val="none"/>
          <w:lang w:eastAsia="zh-CN"/>
        </w:rPr>
        <w:tab/>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法定代表人（签字或盖章）</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　　年　　月　　日</w:t>
      </w:r>
      <w:r>
        <w:rPr>
          <w:rFonts w:hint="eastAsia" w:ascii="宋体" w:hAnsi="宋体" w:eastAsia="宋体"/>
          <w:color w:val="auto"/>
          <w:sz w:val="21"/>
          <w:szCs w:val="21"/>
          <w:highlight w:val="none"/>
          <w:lang w:eastAsia="zh-CN"/>
        </w:rPr>
        <w:tab/>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乙公司全称：（盖章）</w:t>
      </w:r>
      <w:r>
        <w:rPr>
          <w:rFonts w:hint="eastAsia" w:ascii="宋体" w:hAnsi="宋体" w:eastAsia="宋体"/>
          <w:color w:val="auto"/>
          <w:sz w:val="21"/>
          <w:szCs w:val="21"/>
          <w:highlight w:val="none"/>
          <w:lang w:eastAsia="zh-CN"/>
        </w:rPr>
        <w:tab/>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法定代表人（签字或盖章）</w:t>
      </w:r>
      <w:r>
        <w:rPr>
          <w:rFonts w:hint="eastAsia" w:ascii="宋体" w:hAnsi="宋体" w:eastAsia="宋体"/>
          <w:color w:val="auto"/>
          <w:sz w:val="21"/>
          <w:szCs w:val="21"/>
          <w:highlight w:val="none"/>
          <w:lang w:eastAsia="zh-CN"/>
        </w:rPr>
        <w:tab/>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年　　月　　日</w:t>
      </w:r>
      <w:r>
        <w:rPr>
          <w:rFonts w:hint="eastAsia" w:ascii="宋体" w:hAnsi="宋体" w:eastAsia="宋体"/>
          <w:color w:val="auto"/>
          <w:sz w:val="21"/>
          <w:szCs w:val="21"/>
          <w:highlight w:val="none"/>
          <w:lang w:eastAsia="zh-CN"/>
        </w:rPr>
        <w:tab/>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……公司全称（盖章）</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法定代表人：（签字或盖章）</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　　年　　月　　日</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注：1．各方成员应在本意向书上共同盖章确认。</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2．本意向书内容不得擅自修改。并将作为签订合同的附件之一。</w:t>
      </w:r>
    </w:p>
    <w:p>
      <w:pPr>
        <w:pageBreakBefore w:val="0"/>
        <w:kinsoku/>
        <w:topLinePunct w:val="0"/>
        <w:autoSpaceDE/>
        <w:autoSpaceDN/>
        <w:bidi w:val="0"/>
        <w:spacing w:line="360" w:lineRule="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Style w:val="5"/>
        <w:pageBreakBefore w:val="0"/>
        <w:widowControl w:val="0"/>
        <w:kinsoku/>
        <w:overflowPunct w:val="0"/>
        <w:topLinePunct w:val="0"/>
        <w:autoSpaceDE/>
        <w:autoSpaceDN/>
        <w:bidi w:val="0"/>
        <w:spacing w:before="0" w:after="0" w:line="360" w:lineRule="auto"/>
        <w:rPr>
          <w:rFonts w:ascii="黑体" w:eastAsia="黑体"/>
          <w:color w:val="auto"/>
          <w:sz w:val="28"/>
          <w:szCs w:val="28"/>
          <w:highlight w:val="none"/>
        </w:rPr>
      </w:pPr>
      <w:bookmarkStart w:id="232" w:name="_Toc3658"/>
      <w:r>
        <w:rPr>
          <w:rFonts w:hint="eastAsia" w:ascii="宋体" w:hAnsi="宋体" w:eastAsia="宋体"/>
          <w:color w:val="auto"/>
          <w:sz w:val="21"/>
          <w:szCs w:val="21"/>
          <w:highlight w:val="none"/>
        </w:rPr>
        <w:t>附件</w:t>
      </w:r>
      <w:r>
        <w:rPr>
          <w:rFonts w:hint="eastAsia" w:ascii="宋体" w:hAnsi="宋体" w:eastAsia="宋体"/>
          <w:color w:val="auto"/>
          <w:sz w:val="21"/>
          <w:szCs w:val="21"/>
          <w:highlight w:val="none"/>
          <w:lang w:val="en-US" w:eastAsia="zh-CN"/>
        </w:rPr>
        <w:t>5</w:t>
      </w:r>
      <w:r>
        <w:rPr>
          <w:rFonts w:hint="eastAsia" w:ascii="宋体" w:hAnsi="宋体" w:eastAsia="宋体"/>
          <w:color w:val="auto"/>
          <w:sz w:val="21"/>
          <w:szCs w:val="21"/>
          <w:highlight w:val="none"/>
        </w:rPr>
        <w:t>.投标担保函</w:t>
      </w:r>
      <w:bookmarkEnd w:id="232"/>
      <w:r>
        <w:rPr>
          <w:rFonts w:hint="eastAsia" w:ascii="宋体" w:hAnsi="宋体" w:eastAsia="宋体"/>
          <w:color w:val="auto"/>
          <w:sz w:val="21"/>
          <w:szCs w:val="21"/>
          <w:highlight w:val="none"/>
        </w:rPr>
        <w:t xml:space="preserve"> </w:t>
      </w:r>
    </w:p>
    <w:p>
      <w:pPr>
        <w:pageBreakBefore w:val="0"/>
        <w:kinsoku/>
        <w:topLinePunct w:val="0"/>
        <w:autoSpaceDE/>
        <w:autoSpaceDN/>
        <w:bidi w:val="0"/>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投标担保函</w:t>
      </w:r>
    </w:p>
    <w:p>
      <w:pPr>
        <w:pageBreakBefore w:val="0"/>
        <w:kinsoku/>
        <w:wordWrap w:val="0"/>
        <w:topLinePunct w:val="0"/>
        <w:autoSpaceDE/>
        <w:autoSpaceDN/>
        <w:bidi w:val="0"/>
        <w:spacing w:line="360" w:lineRule="auto"/>
        <w:jc w:val="right"/>
        <w:rPr>
          <w:rFonts w:ascii="仿宋_GB2312" w:eastAsia="仿宋_GB2312"/>
          <w:color w:val="auto"/>
          <w:sz w:val="32"/>
          <w:szCs w:val="32"/>
          <w:highlight w:val="none"/>
        </w:rPr>
      </w:pPr>
      <w:r>
        <w:rPr>
          <w:rFonts w:hint="eastAsia" w:ascii="黑体" w:eastAsia="黑体"/>
          <w:color w:val="auto"/>
          <w:sz w:val="24"/>
          <w:szCs w:val="24"/>
          <w:highlight w:val="none"/>
        </w:rPr>
        <w:t xml:space="preserve"> 编号：</w:t>
      </w:r>
      <w:r>
        <w:rPr>
          <w:rFonts w:hint="eastAsia" w:ascii="仿宋_GB2312" w:eastAsia="仿宋_GB2312"/>
          <w:color w:val="auto"/>
          <w:sz w:val="28"/>
          <w:szCs w:val="28"/>
          <w:highlight w:val="none"/>
        </w:rPr>
        <w:t xml:space="preserve"> </w:t>
      </w:r>
      <w:r>
        <w:rPr>
          <w:rFonts w:hint="eastAsia" w:ascii="仿宋_GB2312" w:eastAsia="仿宋_GB2312"/>
          <w:color w:val="auto"/>
          <w:sz w:val="32"/>
          <w:szCs w:val="32"/>
          <w:highlight w:val="none"/>
        </w:rPr>
        <w:t xml:space="preserve">     </w:t>
      </w:r>
    </w:p>
    <w:p>
      <w:pPr>
        <w:pageBreakBefore w:val="0"/>
        <w:kinsoku/>
        <w:topLinePunct w:val="0"/>
        <w:autoSpaceDE/>
        <w:autoSpaceDN/>
        <w:bidi w:val="0"/>
        <w:spacing w:after="0" w:line="360" w:lineRule="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（采购人或采购代理机构）：</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鉴于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（以下简称“投标人”）拟参加编号为</w:t>
      </w:r>
      <w:r>
        <w:rPr>
          <w:rFonts w:hint="eastAsia" w:ascii="宋体" w:hAnsi="宋体" w:eastAsia="宋体" w:cs="宋体"/>
          <w:color w:val="auto"/>
          <w:sz w:val="21"/>
          <w:szCs w:val="21"/>
          <w:highlight w:val="none"/>
          <w:u w:val="single"/>
        </w:rPr>
        <w:t xml:space="preserve">            的</w:t>
      </w:r>
    </w:p>
    <w:p>
      <w:pPr>
        <w:pageBreakBefore w:val="0"/>
        <w:kinsoku/>
        <w:topLinePunct w:val="0"/>
        <w:autoSpaceDE/>
        <w:autoSpaceDN/>
        <w:bidi w:val="0"/>
        <w:spacing w:after="0" w:line="360" w:lineRule="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项目（以下简称“本项目”）投标，根据本项目招标文件，供应商参加投标时应向你方交纳投标保证金，且可以投标担保函的形式交纳投标保证金。应供应商的申请，我方以保证的方式向你方提供如下投标保证金担保：</w:t>
      </w:r>
    </w:p>
    <w:p>
      <w:pPr>
        <w:pageBreakBefore w:val="0"/>
        <w:kinsoku/>
        <w:topLinePunct w:val="0"/>
        <w:autoSpaceDE/>
        <w:autoSpaceDN/>
        <w:bidi w:val="0"/>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一、保证责任的情形及保证金额</w:t>
      </w:r>
    </w:p>
    <w:p>
      <w:pPr>
        <w:pageBreakBefore w:val="0"/>
        <w:kinsoku/>
        <w:topLinePunct w:val="0"/>
        <w:autoSpaceDE/>
        <w:autoSpaceDN/>
        <w:bidi w:val="0"/>
        <w:spacing w:after="0" w:line="360" w:lineRule="auto"/>
        <w:ind w:firstLine="210" w:firstLineChars="1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（一）在投标人出现下列情形之一时，我方承担保证责任：</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1．中标后投标人无正当理由不与采购人或者采购代理机构签订合同；</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2．招标文件规定的投标人应当缴纳保证金的其他情形。</w:t>
      </w:r>
    </w:p>
    <w:p>
      <w:pPr>
        <w:pageBreakBefore w:val="0"/>
        <w:kinsoku/>
        <w:topLinePunct w:val="0"/>
        <w:autoSpaceDE/>
        <w:autoSpaceDN/>
        <w:bidi w:val="0"/>
        <w:spacing w:after="0" w:line="360" w:lineRule="auto"/>
        <w:ind w:firstLine="210" w:firstLineChars="1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（二）我方承担保证责任的最高金额为人民币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），即本项目的投标保证金金额。</w:t>
      </w:r>
    </w:p>
    <w:p>
      <w:pPr>
        <w:pageBreakBefore w:val="0"/>
        <w:kinsoku/>
        <w:topLinePunct w:val="0"/>
        <w:autoSpaceDE/>
        <w:autoSpaceDN/>
        <w:bidi w:val="0"/>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二、保证的方式及保证期间</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我方保证的方式为：连带责任保证。</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我方的保证期间为：自本保函生效之日起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个月止。</w:t>
      </w:r>
    </w:p>
    <w:p>
      <w:pPr>
        <w:pageBreakBefore w:val="0"/>
        <w:kinsoku/>
        <w:topLinePunct w:val="0"/>
        <w:autoSpaceDE/>
        <w:autoSpaceDN/>
        <w:bidi w:val="0"/>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三、承担保证责任的程序</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1．你方要求我方承担保证责任的，应在本保函保证期间内向我方发出书面索赔通知。索赔通知应写明要求索赔的金额，支付款项应到达的账号，并附有证明投标人发生我方应承担保证责任情形的事实材料。</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2．我方在收到索赔通知及相关证明材料后，在</w:t>
      </w:r>
      <w:r>
        <w:rPr>
          <w:rFonts w:hint="eastAsia" w:ascii="宋体" w:hAnsi="宋体" w:eastAsia="宋体" w:cs="宋体"/>
          <w:color w:val="auto"/>
          <w:sz w:val="21"/>
          <w:szCs w:val="21"/>
          <w:highlight w:val="none"/>
          <w:u w:val="single"/>
        </w:rPr>
        <w:t>　　　</w:t>
      </w:r>
      <w:r>
        <w:rPr>
          <w:rFonts w:hint="eastAsia" w:ascii="宋体" w:hAnsi="宋体" w:eastAsia="宋体" w:cs="宋体"/>
          <w:color w:val="auto"/>
          <w:sz w:val="21"/>
          <w:szCs w:val="21"/>
          <w:highlight w:val="none"/>
        </w:rPr>
        <w:t>个工作日内进行审查，符合应承担保证责任情形的，我方应按照你方的要求代投标人向你方支付投标保证金。</w:t>
      </w:r>
    </w:p>
    <w:p>
      <w:pPr>
        <w:pageBreakBefore w:val="0"/>
        <w:kinsoku/>
        <w:topLinePunct w:val="0"/>
        <w:autoSpaceDE/>
        <w:autoSpaceDN/>
        <w:bidi w:val="0"/>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四、保证责任的终止</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1．保证期间届满你方未向我方书面主张保证责任的，自保证期间届满次日起，我方保证责任自动终止。</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2．我方按照本保函向你贵方履行了保证责任后，自我方向你贵方支付款项（支付款项从我方账户划出）之日起，保证责任终止。</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3．按照法律法规的规定或出现我方保证责任终止的其它情形的，我方在本保函项下的保证责任亦终止。</w:t>
      </w:r>
    </w:p>
    <w:p>
      <w:pPr>
        <w:pageBreakBefore w:val="0"/>
        <w:kinsoku/>
        <w:topLinePunct w:val="0"/>
        <w:autoSpaceDE/>
        <w:autoSpaceDN/>
        <w:bidi w:val="0"/>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五、免责条款</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1．依照法律规定或你方与投标人的另行约定，全部或者部分免除投标人投标保证金义务时，我方亦免除相应的保证责任。</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2．因你方原因致使投标人发生本保函第一条第（一）款约定情形的，我方不承担保证责任。</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3．因不可抗力造成投标人发生本保函第一条约定情形的，我方不承担保证责任。</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4．你方或其他有权机关对招标文件进行任何澄清或修改，加重我方保证责任的，我方对加重部分不承担保证责任，但该澄清或修改经我方事先书面同意的除外。</w:t>
      </w:r>
    </w:p>
    <w:p>
      <w:pPr>
        <w:pageBreakBefore w:val="0"/>
        <w:kinsoku/>
        <w:topLinePunct w:val="0"/>
        <w:autoSpaceDE/>
        <w:autoSpaceDN/>
        <w:bidi w:val="0"/>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六、争议的解决</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因本保函发生的纠纷，由你我双方协商解决，协商不成的，通过诉讼程序解决，诉讼管辖地法院为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法院。</w:t>
      </w:r>
    </w:p>
    <w:p>
      <w:pPr>
        <w:pageBreakBefore w:val="0"/>
        <w:kinsoku/>
        <w:topLinePunct w:val="0"/>
        <w:autoSpaceDE/>
        <w:autoSpaceDN/>
        <w:bidi w:val="0"/>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七、保函的生效</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本保函自我方加盖公章之日起生效。</w:t>
      </w:r>
    </w:p>
    <w:p>
      <w:pPr>
        <w:pageBreakBefore w:val="0"/>
        <w:kinsoku/>
        <w:topLinePunct w:val="0"/>
        <w:autoSpaceDE/>
        <w:autoSpaceDN/>
        <w:bidi w:val="0"/>
        <w:spacing w:after="0" w:line="360" w:lineRule="auto"/>
        <w:jc w:val="righ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保证人：（公章）</w:t>
      </w:r>
    </w:p>
    <w:p>
      <w:pPr>
        <w:pageBreakBefore w:val="0"/>
        <w:kinsoku/>
        <w:topLinePunct w:val="0"/>
        <w:autoSpaceDE/>
        <w:autoSpaceDN/>
        <w:bidi w:val="0"/>
        <w:spacing w:after="0" w:line="36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pPr>
        <w:pageBreakBefore w:val="0"/>
        <w:kinsoku/>
        <w:topLinePunct w:val="0"/>
        <w:autoSpaceDE/>
        <w:autoSpaceDN/>
        <w:bidi w:val="0"/>
        <w:spacing w:after="0" w:line="360" w:lineRule="auto"/>
        <w:jc w:val="left"/>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注：</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lang w:val="en-US" w:eastAsia="zh-CN"/>
        </w:rPr>
        <w:t>1</w:t>
      </w:r>
      <w:r>
        <w:rPr>
          <w:rFonts w:hint="eastAsia" w:ascii="宋体" w:hAnsi="宋体" w:eastAsia="宋体"/>
          <w:color w:val="auto"/>
          <w:sz w:val="21"/>
          <w:szCs w:val="21"/>
          <w:highlight w:val="none"/>
          <w:lang w:eastAsia="zh-CN"/>
        </w:rPr>
        <w:t>）若投标人不以投标担保函</w:t>
      </w:r>
      <w:r>
        <w:rPr>
          <w:rFonts w:hint="eastAsia" w:ascii="宋体" w:hAnsi="宋体" w:eastAsia="宋体" w:cs="宋体"/>
          <w:color w:val="auto"/>
          <w:sz w:val="21"/>
          <w:szCs w:val="21"/>
          <w:highlight w:val="none"/>
          <w:lang w:eastAsia="zh-CN"/>
        </w:rPr>
        <w:t>形式</w:t>
      </w:r>
      <w:r>
        <w:rPr>
          <w:rFonts w:hint="eastAsia" w:ascii="宋体" w:hAnsi="宋体" w:eastAsia="宋体"/>
          <w:color w:val="auto"/>
          <w:sz w:val="21"/>
          <w:szCs w:val="21"/>
          <w:highlight w:val="none"/>
          <w:lang w:eastAsia="zh-CN"/>
        </w:rPr>
        <w:t>提交投标保证金，则无需在投标文件中提供此格式。</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lang w:val="en-US" w:eastAsia="zh-CN"/>
        </w:rPr>
        <w:t>2</w:t>
      </w:r>
      <w:r>
        <w:rPr>
          <w:rFonts w:hint="eastAsia" w:ascii="宋体" w:hAnsi="宋体" w:eastAsia="宋体"/>
          <w:color w:val="auto"/>
          <w:sz w:val="21"/>
          <w:szCs w:val="21"/>
          <w:highlight w:val="none"/>
          <w:lang w:eastAsia="zh-CN"/>
        </w:rPr>
        <w:t>）若投标人以投标担保函形式提交投标保证金，则应将投标担保函原件交予采购代理机构。</w:t>
      </w:r>
    </w:p>
    <w:p>
      <w:pPr>
        <w:rPr>
          <w:rStyle w:val="26"/>
          <w:rFonts w:hint="eastAsia" w:ascii="宋体" w:hAnsi="宋体" w:eastAsia="宋体" w:cs="宋体"/>
          <w:color w:val="auto"/>
          <w:sz w:val="21"/>
          <w:szCs w:val="21"/>
          <w:highlight w:val="none"/>
        </w:rPr>
      </w:pPr>
      <w:bookmarkStart w:id="233" w:name="_Toc137"/>
      <w:r>
        <w:rPr>
          <w:rStyle w:val="26"/>
          <w:rFonts w:hint="eastAsia" w:ascii="宋体" w:hAnsi="宋体" w:eastAsia="宋体" w:cs="宋体"/>
          <w:color w:val="auto"/>
          <w:sz w:val="21"/>
          <w:szCs w:val="21"/>
          <w:highlight w:val="none"/>
        </w:rPr>
        <w:br w:type="page"/>
      </w:r>
    </w:p>
    <w:p>
      <w:pPr>
        <w:pageBreakBefore w:val="0"/>
        <w:kinsoku/>
        <w:topLinePunct w:val="0"/>
        <w:autoSpaceDE/>
        <w:autoSpaceDN/>
        <w:bidi w:val="0"/>
        <w:spacing w:after="0" w:line="360" w:lineRule="auto"/>
        <w:outlineLvl w:val="3"/>
        <w:rPr>
          <w:rFonts w:ascii="黑体" w:eastAsia="黑体"/>
          <w:color w:val="auto"/>
          <w:sz w:val="30"/>
          <w:szCs w:val="30"/>
          <w:highlight w:val="none"/>
        </w:rPr>
      </w:pPr>
      <w:r>
        <w:rPr>
          <w:rStyle w:val="26"/>
          <w:rFonts w:hint="eastAsia" w:ascii="宋体" w:hAnsi="宋体" w:eastAsia="宋体" w:cs="宋体"/>
          <w:color w:val="auto"/>
          <w:sz w:val="21"/>
          <w:szCs w:val="21"/>
          <w:highlight w:val="none"/>
        </w:rPr>
        <w:t>附件</w:t>
      </w:r>
      <w:r>
        <w:rPr>
          <w:rStyle w:val="26"/>
          <w:rFonts w:hint="eastAsia" w:ascii="宋体" w:hAnsi="宋体" w:eastAsia="宋体" w:cs="宋体"/>
          <w:color w:val="auto"/>
          <w:sz w:val="21"/>
          <w:szCs w:val="21"/>
          <w:highlight w:val="none"/>
          <w:lang w:val="en-US" w:eastAsia="zh-CN"/>
        </w:rPr>
        <w:t>6</w:t>
      </w:r>
      <w:r>
        <w:rPr>
          <w:rStyle w:val="26"/>
          <w:rFonts w:hint="eastAsia" w:ascii="宋体" w:hAnsi="宋体" w:eastAsia="宋体" w:cs="宋体"/>
          <w:color w:val="auto"/>
          <w:sz w:val="21"/>
          <w:szCs w:val="21"/>
          <w:highlight w:val="none"/>
        </w:rPr>
        <w:t>.履约担保函</w:t>
      </w:r>
      <w:bookmarkEnd w:id="233"/>
    </w:p>
    <w:p>
      <w:pPr>
        <w:pageBreakBefore w:val="0"/>
        <w:kinsoku/>
        <w:topLinePunct w:val="0"/>
        <w:autoSpaceDE/>
        <w:autoSpaceDN/>
        <w:bidi w:val="0"/>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履约担保函</w:t>
      </w:r>
    </w:p>
    <w:p>
      <w:pPr>
        <w:pageBreakBefore w:val="0"/>
        <w:kinsoku/>
        <w:wordWrap w:val="0"/>
        <w:topLinePunct w:val="0"/>
        <w:autoSpaceDE/>
        <w:autoSpaceDN/>
        <w:bidi w:val="0"/>
        <w:spacing w:line="360" w:lineRule="auto"/>
        <w:jc w:val="right"/>
        <w:rPr>
          <w:rFonts w:ascii="仿宋_GB2312" w:eastAsia="仿宋_GB2312"/>
          <w:color w:val="auto"/>
          <w:sz w:val="32"/>
          <w:szCs w:val="32"/>
          <w:highlight w:val="none"/>
        </w:rPr>
      </w:pPr>
      <w:r>
        <w:rPr>
          <w:rFonts w:hint="eastAsia" w:ascii="黑体" w:eastAsia="黑体"/>
          <w:color w:val="auto"/>
          <w:sz w:val="28"/>
          <w:szCs w:val="28"/>
          <w:highlight w:val="none"/>
        </w:rPr>
        <w:t xml:space="preserve">编号：  </w:t>
      </w:r>
      <w:r>
        <w:rPr>
          <w:rFonts w:hint="eastAsia" w:ascii="仿宋_GB2312" w:eastAsia="仿宋_GB2312"/>
          <w:color w:val="auto"/>
          <w:sz w:val="32"/>
          <w:szCs w:val="32"/>
          <w:highlight w:val="none"/>
        </w:rPr>
        <w:t xml:space="preserve">       </w:t>
      </w:r>
    </w:p>
    <w:p>
      <w:pPr>
        <w:pageBreakBefore w:val="0"/>
        <w:kinsoku/>
        <w:topLinePunct w:val="0"/>
        <w:autoSpaceDE/>
        <w:autoSpaceDN/>
        <w:bidi w:val="0"/>
        <w:spacing w:after="0" w:line="360" w:lineRule="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（采购人）：</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鉴于你方与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（以下简称供应商）于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日签定编号为   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合同》（以下简称主合同），且依据该合同的约定，供应商应在</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日前向你方交纳履约保证金，且可以履约担保函的形式交纳履约保证金。应供应商的申请，我方以保证的方式向你方提供如下履约保证金担保：</w:t>
      </w:r>
    </w:p>
    <w:p>
      <w:pPr>
        <w:pageBreakBefore w:val="0"/>
        <w:kinsoku/>
        <w:topLinePunct w:val="0"/>
        <w:autoSpaceDE/>
        <w:autoSpaceDN/>
        <w:bidi w:val="0"/>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一、保证责任的情形及保证金额</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（一）在供应商出现下列情形之一时，我方承担保证责任：</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1．将中标项目转让给他人，或者在投标文件中未说明，且未经采购招标机构人同意，将中标项目分包给他人的；</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2．主合同约定的应当缴纳履约保证金的情形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（1）未按主合同约定的质量、数量和期限供应货物/提供服务/完成工程的；</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topLinePunct w:val="0"/>
        <w:autoSpaceDE/>
        <w:autoSpaceDN/>
        <w:bidi w:val="0"/>
        <w:spacing w:after="0" w:line="360" w:lineRule="auto"/>
        <w:ind w:right="-1291" w:rightChars="-587"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（二）我方的保证范围是主合同约定的合同价款总额</w:t>
      </w:r>
      <w:r>
        <w:rPr>
          <w:rFonts w:hint="eastAsia" w:ascii="宋体" w:hAnsi="宋体" w:eastAsia="宋体" w:cs="宋体"/>
          <w:color w:val="auto"/>
          <w:sz w:val="21"/>
          <w:szCs w:val="21"/>
          <w:highlight w:val="none"/>
          <w:u w:val="single"/>
        </w:rPr>
        <w:t xml:space="preserve">  </w:t>
      </w:r>
    </w:p>
    <w:p>
      <w:pPr>
        <w:pageBreakBefore w:val="0"/>
        <w:kinsoku/>
        <w:topLinePunct w:val="0"/>
        <w:autoSpaceDE/>
        <w:autoSpaceDN/>
        <w:bidi w:val="0"/>
        <w:spacing w:after="0" w:line="360" w:lineRule="auto"/>
        <w:ind w:right="26" w:rightChars="12"/>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%数额为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。（即主合同履约保证金金额）</w:t>
      </w:r>
    </w:p>
    <w:p>
      <w:pPr>
        <w:pageBreakBefore w:val="0"/>
        <w:kinsoku/>
        <w:topLinePunct w:val="0"/>
        <w:autoSpaceDE/>
        <w:autoSpaceDN/>
        <w:bidi w:val="0"/>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二、保证的方式及保证期间</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我方保证的方式为：连带责任保证。</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我方保证的期间为：自本合同生效之日起至供应商按照主合同约定的供货/完工期限届满后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日内。</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如果供应商未按主合同约定向贵方供应货物/提供服务/完成工程的，由我方在保证金额内向你方支付上述款项。</w:t>
      </w:r>
    </w:p>
    <w:p>
      <w:pPr>
        <w:pageBreakBefore w:val="0"/>
        <w:kinsoku/>
        <w:topLinePunct w:val="0"/>
        <w:autoSpaceDE/>
        <w:autoSpaceDN/>
        <w:bidi w:val="0"/>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三、承担保证责任的程序</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1．你方要求我方承担保证责任的，应在本保函保证期间内向我方发出书面索赔通知。索赔通知应写明要求索赔的金额，支付款项应到达的</w:t>
      </w:r>
      <w:r>
        <w:rPr>
          <w:rFonts w:hint="eastAsia" w:ascii="宋体" w:hAnsi="宋体" w:eastAsia="宋体" w:cs="宋体"/>
          <w:color w:val="auto"/>
          <w:sz w:val="21"/>
          <w:szCs w:val="21"/>
          <w:highlight w:val="none"/>
          <w:lang w:eastAsia="zh-CN"/>
        </w:rPr>
        <w:t>账号</w:t>
      </w:r>
      <w:r>
        <w:rPr>
          <w:rFonts w:hint="eastAsia" w:ascii="宋体" w:hAnsi="宋体" w:eastAsia="宋体" w:cs="宋体"/>
          <w:color w:val="auto"/>
          <w:sz w:val="21"/>
          <w:szCs w:val="21"/>
          <w:highlight w:val="none"/>
        </w:rPr>
        <w:t>。并附有证明供应商违约事实的证明材料。</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如果你方与供应商因货物质量问题产生争议，你方还需同时提供</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部门出具的质量检测报告，或经诉讼（仲裁）程序裁决后的裁决书、调解书，本保证人即按照检测结果或裁决书、调解书决定是否承担保证责任。</w:t>
      </w:r>
    </w:p>
    <w:p>
      <w:pPr>
        <w:pageBreakBefore w:val="0"/>
        <w:kinsoku/>
        <w:topLinePunct w:val="0"/>
        <w:autoSpaceDE/>
        <w:autoSpaceDN/>
        <w:bidi w:val="0"/>
        <w:spacing w:after="0" w:line="360" w:lineRule="auto"/>
        <w:ind w:right="-726" w:rightChars="-330" w:firstLine="420" w:firstLineChars="200"/>
        <w:rPr>
          <w:rFonts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2．我方收到你方的书面索赔通知及相应证明材料，在</w:t>
      </w:r>
      <w:r>
        <w:rPr>
          <w:rFonts w:hint="eastAsia" w:ascii="宋体" w:hAnsi="宋体" w:eastAsia="宋体" w:cs="宋体"/>
          <w:color w:val="auto"/>
          <w:sz w:val="21"/>
          <w:szCs w:val="21"/>
          <w:highlight w:val="none"/>
          <w:u w:val="single"/>
        </w:rPr>
        <w:t xml:space="preserve">  </w:t>
      </w:r>
    </w:p>
    <w:p>
      <w:pPr>
        <w:pageBreakBefore w:val="0"/>
        <w:kinsoku/>
        <w:topLinePunct w:val="0"/>
        <w:autoSpaceDE/>
        <w:autoSpaceDN/>
        <w:bidi w:val="0"/>
        <w:spacing w:after="0" w:line="360" w:lineRule="auto"/>
        <w:ind w:right="-726" w:rightChars="-33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工作日内进行核定后按照本保函的承诺承担保证责任。</w:t>
      </w:r>
    </w:p>
    <w:p>
      <w:pPr>
        <w:pageBreakBefore w:val="0"/>
        <w:kinsoku/>
        <w:topLinePunct w:val="0"/>
        <w:autoSpaceDE/>
        <w:autoSpaceDN/>
        <w:bidi w:val="0"/>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四、保证责任的终止</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1．保证期间届满你方未向我方书面主张保证责任的，自保证期间届满次日起，我方保证责任自动终止。保证期间届满前，主合同约定的货物\工程\服务全部验收合格的，自验收合格日起，我方保证责任自动终止。</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2．我方按照本保函向你方履行了保证责任后，自我方向你方支付款项（支付款项从我方账户划出）之日起，保证责任即终止。</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3．按照法律法规的规定或出现应终止我方保证责任的其它情形的，我方在本保函项下的保证责任亦终止。</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pPr>
        <w:pageBreakBefore w:val="0"/>
        <w:kinsoku/>
        <w:topLinePunct w:val="0"/>
        <w:autoSpaceDE/>
        <w:autoSpaceDN/>
        <w:bidi w:val="0"/>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五、免责条款</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1．因你方违反主合同约定致使供应商不能履行义务的，我方不承担保证责任。</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2．依照法律法规的规定或你方与供应商的另行约定，全部或者部分免除供应商应缴纳的保证金义务的，我方亦免除相应的保证责任。</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3．因不可抗力造成供应商不能履行供货义务的，我方不承担保证责任。</w:t>
      </w:r>
    </w:p>
    <w:p>
      <w:pPr>
        <w:pageBreakBefore w:val="0"/>
        <w:kinsoku/>
        <w:topLinePunct w:val="0"/>
        <w:autoSpaceDE/>
        <w:autoSpaceDN/>
        <w:bidi w:val="0"/>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六、争议的解决</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因本保函发生的纠纷，由你我双方协商解决，协商不成的，通过诉讼程序解决，诉讼管辖地法院为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法院。</w:t>
      </w:r>
    </w:p>
    <w:p>
      <w:pPr>
        <w:pageBreakBefore w:val="0"/>
        <w:kinsoku/>
        <w:topLinePunct w:val="0"/>
        <w:autoSpaceDE/>
        <w:autoSpaceDN/>
        <w:bidi w:val="0"/>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七、保函的生效</w:t>
      </w:r>
    </w:p>
    <w:p>
      <w:pPr>
        <w:pageBreakBefore w:val="0"/>
        <w:kinsoku/>
        <w:topLinePunct w:val="0"/>
        <w:autoSpaceDE/>
        <w:autoSpaceDN/>
        <w:bidi w:val="0"/>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本保函自我方加盖公章之日起生效。</w:t>
      </w:r>
    </w:p>
    <w:p>
      <w:pPr>
        <w:pageBreakBefore w:val="0"/>
        <w:kinsoku/>
        <w:topLinePunct w:val="0"/>
        <w:autoSpaceDE/>
        <w:autoSpaceDN/>
        <w:bidi w:val="0"/>
        <w:spacing w:after="0" w:line="360" w:lineRule="auto"/>
        <w:rPr>
          <w:rFonts w:ascii="宋体" w:hAnsi="宋体" w:eastAsia="宋体" w:cs="宋体"/>
          <w:color w:val="auto"/>
          <w:sz w:val="21"/>
          <w:szCs w:val="21"/>
          <w:highlight w:val="none"/>
        </w:rPr>
      </w:pPr>
    </w:p>
    <w:p>
      <w:pPr>
        <w:pageBreakBefore w:val="0"/>
        <w:kinsoku/>
        <w:topLinePunct w:val="0"/>
        <w:autoSpaceDE/>
        <w:autoSpaceDN/>
        <w:bidi w:val="0"/>
        <w:spacing w:after="0" w:line="360" w:lineRule="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pageBreakBefore w:val="0"/>
        <w:kinsoku/>
        <w:topLinePunct w:val="0"/>
        <w:autoSpaceDE/>
        <w:autoSpaceDN/>
        <w:bidi w:val="0"/>
        <w:spacing w:after="0" w:line="360" w:lineRule="auto"/>
        <w:jc w:val="righ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保证人：（公章）</w:t>
      </w:r>
    </w:p>
    <w:p>
      <w:pPr>
        <w:pageBreakBefore w:val="0"/>
        <w:kinsoku/>
        <w:topLinePunct w:val="0"/>
        <w:autoSpaceDE/>
        <w:autoSpaceDN/>
        <w:bidi w:val="0"/>
        <w:spacing w:after="0" w:line="36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pPr>
        <w:pageBreakBefore w:val="0"/>
        <w:kinsoku/>
        <w:topLinePunct w:val="0"/>
        <w:autoSpaceDE/>
        <w:autoSpaceDN/>
        <w:bidi w:val="0"/>
        <w:spacing w:after="0" w:line="360" w:lineRule="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注：</w:t>
      </w:r>
    </w:p>
    <w:p>
      <w:pPr>
        <w:pageBreakBefore w:val="0"/>
        <w:kinsoku/>
        <w:topLinePunct w:val="0"/>
        <w:autoSpaceDE/>
        <w:autoSpaceDN/>
        <w:bidi w:val="0"/>
        <w:spacing w:after="0" w:line="360" w:lineRule="auto"/>
        <w:ind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lang w:val="en-US" w:eastAsia="zh-CN"/>
        </w:rPr>
        <w:t>1</w:t>
      </w:r>
      <w:r>
        <w:rPr>
          <w:rFonts w:hint="eastAsia" w:ascii="宋体" w:hAnsi="宋体" w:eastAsia="宋体"/>
          <w:color w:val="auto"/>
          <w:sz w:val="21"/>
          <w:szCs w:val="21"/>
          <w:highlight w:val="none"/>
          <w:lang w:eastAsia="zh-CN"/>
        </w:rPr>
        <w:t>）此格式为履约担保函格式，无需在投标文件中提供此格式。</w:t>
      </w:r>
    </w:p>
    <w:p>
      <w:pPr>
        <w:pStyle w:val="2"/>
        <w:pageBreakBefore w:val="0"/>
        <w:kinsoku/>
        <w:topLinePunct w:val="0"/>
        <w:autoSpaceDE/>
        <w:autoSpaceDN/>
        <w:bidi w:val="0"/>
        <w:spacing w:line="360" w:lineRule="auto"/>
        <w:rPr>
          <w:color w:val="auto"/>
          <w:highlight w:val="none"/>
        </w:rPr>
      </w:pPr>
    </w:p>
    <w:p>
      <w:pPr>
        <w:pageBreakBefore w:val="0"/>
        <w:kinsoku/>
        <w:topLinePunct w:val="0"/>
        <w:autoSpaceDE/>
        <w:autoSpaceDN/>
        <w:bidi w:val="0"/>
        <w:spacing w:line="360" w:lineRule="auto"/>
        <w:rPr>
          <w:color w:val="auto"/>
          <w:highlight w:val="none"/>
        </w:rPr>
      </w:pPr>
      <w:r>
        <w:rPr>
          <w:rFonts w:ascii="宋体" w:hAnsi="宋体" w:eastAsia="宋体" w:cs="宋体"/>
          <w:color w:val="auto"/>
          <w:sz w:val="21"/>
          <w:szCs w:val="21"/>
          <w:highlight w:val="none"/>
        </w:rPr>
        <w:br w:type="page"/>
      </w:r>
    </w:p>
    <w:p>
      <w:pPr>
        <w:pStyle w:val="5"/>
        <w:pageBreakBefore w:val="0"/>
        <w:kinsoku/>
        <w:topLinePunct w:val="0"/>
        <w:autoSpaceDE/>
        <w:autoSpaceDN/>
        <w:bidi w:val="0"/>
        <w:spacing w:before="0" w:after="0" w:line="360" w:lineRule="auto"/>
        <w:rPr>
          <w:rFonts w:ascii="宋体" w:hAnsi="宋体" w:eastAsia="宋体" w:cs="宋体"/>
          <w:color w:val="auto"/>
          <w:sz w:val="21"/>
          <w:szCs w:val="21"/>
          <w:highlight w:val="none"/>
        </w:rPr>
      </w:pPr>
      <w:bookmarkStart w:id="234" w:name="_Toc8346"/>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.获取招标文件登记表</w:t>
      </w:r>
      <w:bookmarkEnd w:id="234"/>
    </w:p>
    <w:p>
      <w:pPr>
        <w:spacing w:after="0"/>
        <w:jc w:val="center"/>
        <w:rPr>
          <w:rFonts w:ascii="黑体" w:hAnsi="黑体" w:eastAsia="黑体" w:cs="黑体"/>
          <w:color w:val="auto"/>
          <w:sz w:val="36"/>
          <w:szCs w:val="36"/>
          <w:highlight w:val="none"/>
        </w:rPr>
      </w:pPr>
      <w:bookmarkStart w:id="235" w:name="_Toc12461"/>
      <w:r>
        <w:rPr>
          <w:rFonts w:hint="eastAsia" w:ascii="黑体" w:hAnsi="黑体" w:eastAsia="黑体" w:cs="黑体"/>
          <w:color w:val="auto"/>
          <w:sz w:val="36"/>
          <w:szCs w:val="36"/>
          <w:highlight w:val="none"/>
          <w:lang w:eastAsia="zh-CN"/>
        </w:rPr>
        <w:t>获取</w:t>
      </w:r>
      <w:r>
        <w:rPr>
          <w:rFonts w:hint="eastAsia" w:ascii="黑体" w:hAnsi="黑体" w:eastAsia="黑体" w:cs="黑体"/>
          <w:color w:val="auto"/>
          <w:sz w:val="36"/>
          <w:szCs w:val="36"/>
          <w:highlight w:val="none"/>
        </w:rPr>
        <w:t>招标文件登记表</w:t>
      </w:r>
    </w:p>
    <w:tbl>
      <w:tblPr>
        <w:tblStyle w:val="18"/>
        <w:tblW w:w="4999"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628"/>
        <w:gridCol w:w="58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获取招标文件时间</w:t>
            </w:r>
          </w:p>
        </w:tc>
        <w:tc>
          <w:tcPr>
            <w:tcW w:w="3457"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2022年</w:t>
            </w:r>
            <w:r>
              <w:rPr>
                <w:rFonts w:hint="eastAsia" w:ascii="宋体" w:hAnsi="宋体" w:eastAsia="宋体" w:cs="宋体"/>
                <w:color w:val="auto"/>
                <w:sz w:val="32"/>
                <w:szCs w:val="32"/>
                <w:highlight w:val="none"/>
              </w:rPr>
              <w:t xml:space="preserve">    月    日    时    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拟投标项目名称</w:t>
            </w:r>
          </w:p>
        </w:tc>
        <w:tc>
          <w:tcPr>
            <w:tcW w:w="3457"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项目编号</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项目包号</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供应商全称</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供应商联系人</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电话</w:t>
            </w:r>
          </w:p>
        </w:tc>
        <w:tc>
          <w:tcPr>
            <w:tcW w:w="3457"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drawing>
                <wp:anchor distT="0" distB="0" distL="114300" distR="114300" simplePos="0" relativeHeight="251659264" behindDoc="1" locked="0" layoutInCell="1" allowOverlap="1">
                  <wp:simplePos x="0" y="0"/>
                  <wp:positionH relativeFrom="column">
                    <wp:posOffset>485775</wp:posOffset>
                  </wp:positionH>
                  <wp:positionV relativeFrom="paragraph">
                    <wp:posOffset>22225</wp:posOffset>
                  </wp:positionV>
                  <wp:extent cx="1504950" cy="1409700"/>
                  <wp:effectExtent l="0" t="0" r="0" b="0"/>
                  <wp:wrapNone/>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a:stretch>
                            <a:fillRect/>
                          </a:stretch>
                        </pic:blipFill>
                        <pic:spPr>
                          <a:xfrm>
                            <a:off x="0" y="0"/>
                            <a:ext cx="1504950" cy="1409700"/>
                          </a:xfrm>
                          <a:prstGeom prst="rect">
                            <a:avLst/>
                          </a:prstGeom>
                          <a:noFill/>
                          <a:ln>
                            <a:noFill/>
                          </a:ln>
                        </pic:spPr>
                      </pic:pic>
                    </a:graphicData>
                  </a:graphic>
                </wp:anchor>
              </w:drawing>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手机</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传真</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电子邮箱</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单位地址及邮编</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备注</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招标文件领取人签名</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招标文件发售人签名</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招标文件售价</w:t>
            </w:r>
          </w:p>
        </w:tc>
        <w:tc>
          <w:tcPr>
            <w:tcW w:w="3457"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人民币</w:t>
            </w:r>
            <w:r>
              <w:rPr>
                <w:rFonts w:hint="eastAsia" w:ascii="宋体" w:hAnsi="宋体" w:eastAsia="宋体" w:cs="宋体"/>
                <w:color w:val="auto"/>
                <w:sz w:val="32"/>
                <w:szCs w:val="32"/>
                <w:highlight w:val="none"/>
                <w:lang w:eastAsia="zh-CN"/>
              </w:rPr>
              <w:t>200</w:t>
            </w:r>
            <w:r>
              <w:rPr>
                <w:rFonts w:hint="eastAsia" w:ascii="宋体" w:hAnsi="宋体" w:eastAsia="宋体" w:cs="宋体"/>
                <w:color w:val="auto"/>
                <w:sz w:val="32"/>
                <w:szCs w:val="32"/>
                <w:highlight w:val="none"/>
              </w:rPr>
              <w:t>元/份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5000" w:type="pct"/>
            <w:gridSpan w:val="2"/>
            <w:vAlign w:val="center"/>
          </w:tcPr>
          <w:p>
            <w:pPr>
              <w:spacing w:after="0"/>
              <w:jc w:val="center"/>
              <w:rPr>
                <w:rFonts w:hint="eastAsia" w:ascii="宋体" w:hAnsi="宋体" w:eastAsia="宋体" w:cs="宋体"/>
                <w:color w:val="auto"/>
                <w:sz w:val="32"/>
                <w:szCs w:val="32"/>
                <w:highlight w:val="none"/>
                <w:lang w:eastAsia="zh-CN"/>
              </w:rPr>
            </w:pPr>
            <w:r>
              <w:rPr>
                <w:rFonts w:hint="eastAsia" w:ascii="宋体" w:hAnsi="宋体" w:eastAsia="宋体" w:cs="宋体"/>
                <w:b/>
                <w:bCs/>
                <w:color w:val="auto"/>
                <w:sz w:val="32"/>
                <w:szCs w:val="32"/>
                <w:highlight w:val="none"/>
                <w:lang w:eastAsia="zh-CN"/>
              </w:rPr>
              <w:t>注：开完发票后请把报名表格交还至前台</w:t>
            </w:r>
          </w:p>
        </w:tc>
      </w:tr>
      <w:bookmarkEnd w:id="235"/>
    </w:tbl>
    <w:p>
      <w:pPr>
        <w:rPr>
          <w:rFonts w:hint="default"/>
          <w:color w:val="auto"/>
          <w:highlight w:val="none"/>
          <w:lang w:val="en-US" w:eastAsia="zh-CN"/>
        </w:rPr>
      </w:pPr>
    </w:p>
    <w:sectPr>
      <w:footerReference r:id="rId6" w:type="first"/>
      <w:footerReference r:id="rId5" w:type="default"/>
      <w:pgSz w:w="11906" w:h="16838"/>
      <w:pgMar w:top="1440" w:right="1800" w:bottom="1440" w:left="1800" w:header="708" w:footer="708" w:gutter="0"/>
      <w:pgNumType w:start="1"/>
      <w:cols w:space="708" w:num="1"/>
      <w:titlePg/>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fldChar w:fldCharType="begin"/>
                          </w:r>
                          <w:r>
                            <w:rPr>
                              <w:rFonts w:hint="eastAsia"/>
                              <w:lang w:val="en-US" w:eastAsia="zh-CN"/>
                            </w:rPr>
                            <w:instrText xml:space="preserve">=</w:instrText>
                          </w:r>
                          <w:r>
                            <w:rPr>
                              <w:rFonts w:hint="eastAsia"/>
                              <w:lang w:val="en-US" w:eastAsia="zh-CN"/>
                            </w:rPr>
                            <w:fldChar w:fldCharType="begin"/>
                          </w:r>
                          <w:r>
                            <w:rPr>
                              <w:rFonts w:hint="eastAsia"/>
                              <w:lang w:val="en-US" w:eastAsia="zh-CN"/>
                            </w:rPr>
                            <w:instrText xml:space="preserve"> </w:instrText>
                          </w:r>
                          <w:r>
                            <w:instrText xml:space="preserve"> NUMPAGES  \* MERGEFORMAT </w:instrText>
                          </w:r>
                          <w:r>
                            <w:rPr>
                              <w:rFonts w:hint="eastAsia"/>
                              <w:lang w:val="en-US" w:eastAsia="zh-CN"/>
                            </w:rPr>
                            <w:instrText xml:space="preserve"> </w:instrText>
                          </w:r>
                          <w:r>
                            <w:rPr>
                              <w:rFonts w:hint="eastAsia"/>
                              <w:lang w:val="en-US" w:eastAsia="zh-CN"/>
                            </w:rPr>
                            <w:fldChar w:fldCharType="end"/>
                          </w:r>
                          <w:r>
                            <w:rPr>
                              <w:rFonts w:hint="eastAsia"/>
                              <w:lang w:val="en-US" w:eastAsia="zh-CN"/>
                            </w:rPr>
                            <w:instrText xml:space="preserve">-1</w:instrText>
                          </w:r>
                          <w:r>
                            <w:fldChar w:fldCharType="separate"/>
                          </w:r>
                          <w:r>
                            <w:rPr>
                              <w:rFonts w:hint="eastAsia"/>
                            </w:rPr>
                            <w:t>62</w:t>
                          </w:r>
                          <w:r>
                            <w:fldChar w:fldCharType="end"/>
                          </w:r>
                          <w:r>
                            <w:rPr>
                              <w:rFonts w:hint="eastAsia"/>
                            </w:rPr>
                            <w:t xml:space="preserve"> 页</w:t>
                          </w:r>
                        </w:p>
                      </w:txbxContent>
                    </wps:txbx>
                    <wps:bodyPr wrap="none" lIns="0" tIns="0" rIns="0" bIns="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tpCpozAEAAJkDAAAOAAAAAAAAAAEAIAAAAB4BAABkcnMvZTJv&#10;RG9jLnhtbFBLBQYAAAAABgAGAFkBAABcBQAAAAA=&#10;">
              <v:fill on="f" focussize="0,0"/>
              <v:stroke on="f"/>
              <v:imagedata o:title=""/>
              <o:lock v:ext="edit" aspectratio="f"/>
              <v:textbox inset="0mm,0mm,0mm,0mm" style="mso-fit-shape-to-text:t;">
                <w:txbxContent>
                  <w:p>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fldChar w:fldCharType="begin"/>
                    </w:r>
                    <w:r>
                      <w:rPr>
                        <w:rFonts w:hint="eastAsia"/>
                        <w:lang w:val="en-US" w:eastAsia="zh-CN"/>
                      </w:rPr>
                      <w:instrText xml:space="preserve">=</w:instrText>
                    </w:r>
                    <w:r>
                      <w:rPr>
                        <w:rFonts w:hint="eastAsia"/>
                        <w:lang w:val="en-US" w:eastAsia="zh-CN"/>
                      </w:rPr>
                      <w:fldChar w:fldCharType="begin"/>
                    </w:r>
                    <w:r>
                      <w:rPr>
                        <w:rFonts w:hint="eastAsia"/>
                        <w:lang w:val="en-US" w:eastAsia="zh-CN"/>
                      </w:rPr>
                      <w:instrText xml:space="preserve"> </w:instrText>
                    </w:r>
                    <w:r>
                      <w:instrText xml:space="preserve"> NUMPAGES  \* MERGEFORMAT </w:instrText>
                    </w:r>
                    <w:r>
                      <w:rPr>
                        <w:rFonts w:hint="eastAsia"/>
                        <w:lang w:val="en-US" w:eastAsia="zh-CN"/>
                      </w:rPr>
                      <w:instrText xml:space="preserve"> </w:instrText>
                    </w:r>
                    <w:r>
                      <w:rPr>
                        <w:rFonts w:hint="eastAsia"/>
                        <w:lang w:val="en-US" w:eastAsia="zh-CN"/>
                      </w:rPr>
                      <w:fldChar w:fldCharType="end"/>
                    </w:r>
                    <w:r>
                      <w:rPr>
                        <w:rFonts w:hint="eastAsia"/>
                        <w:lang w:val="en-US" w:eastAsia="zh-CN"/>
                      </w:rPr>
                      <w:instrText xml:space="preserve">-1</w:instrText>
                    </w:r>
                    <w:r>
                      <w:fldChar w:fldCharType="separate"/>
                    </w:r>
                    <w:r>
                      <w:rPr>
                        <w:rFonts w:hint="eastAsia"/>
                      </w:rPr>
                      <w:t>62</w:t>
                    </w:r>
                    <w: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fldChar w:fldCharType="begin"/>
                          </w:r>
                          <w:r>
                            <w:rPr>
                              <w:rFonts w:hint="eastAsia"/>
                              <w:lang w:val="en-US" w:eastAsia="zh-CN"/>
                            </w:rPr>
                            <w:instrText xml:space="preserve">=</w:instrText>
                          </w:r>
                          <w:r>
                            <w:rPr>
                              <w:rFonts w:hint="eastAsia"/>
                              <w:lang w:val="en-US" w:eastAsia="zh-CN"/>
                            </w:rPr>
                            <w:fldChar w:fldCharType="begin"/>
                          </w:r>
                          <w:r>
                            <w:rPr>
                              <w:rFonts w:hint="eastAsia"/>
                              <w:lang w:val="en-US" w:eastAsia="zh-CN"/>
                            </w:rPr>
                            <w:instrText xml:space="preserve"> </w:instrText>
                          </w:r>
                          <w:r>
                            <w:instrText xml:space="preserve"> NUMPAGES  \* MERGEFORMAT </w:instrText>
                          </w:r>
                          <w:r>
                            <w:rPr>
                              <w:rFonts w:hint="eastAsia"/>
                              <w:lang w:val="en-US" w:eastAsia="zh-CN"/>
                            </w:rPr>
                            <w:fldChar w:fldCharType="separate"/>
                          </w:r>
                          <w:r>
                            <w:rPr>
                              <w:rFonts w:hint="eastAsia"/>
                              <w:lang w:val="en-US" w:eastAsia="zh-CN"/>
                            </w:rPr>
                            <w:instrText xml:space="preserve">71</w:instrText>
                          </w:r>
                          <w:r>
                            <w:rPr>
                              <w:rFonts w:hint="eastAsia"/>
                              <w:lang w:val="en-US" w:eastAsia="zh-CN"/>
                            </w:rPr>
                            <w:fldChar w:fldCharType="end"/>
                          </w:r>
                          <w:r>
                            <w:rPr>
                              <w:rFonts w:hint="eastAsia"/>
                              <w:lang w:val="en-US" w:eastAsia="zh-CN"/>
                            </w:rPr>
                            <w:instrText xml:space="preserve">-1</w:instrText>
                          </w:r>
                          <w:r>
                            <w:fldChar w:fldCharType="separate"/>
                          </w:r>
                          <w:r>
                            <w:rPr>
                              <w:rFonts w:hint="eastAsia"/>
                            </w:rPr>
                            <w:t>62</w:t>
                          </w:r>
                          <w:r>
                            <w:fldChar w:fldCharType="end"/>
                          </w:r>
                          <w:r>
                            <w:rPr>
                              <w:rFonts w:hint="eastAsia"/>
                            </w:rPr>
                            <w:t xml:space="preserve"> 页</w:t>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BmG9hazAEAAJkDAAAOAAAAAAAAAAEAIAAAAB4BAABkcnMvZTJv&#10;RG9jLnhtbFBLBQYAAAAABgAGAFkBAABcBQAAAAA=&#10;">
              <v:fill on="f" focussize="0,0"/>
              <v:stroke on="f"/>
              <v:imagedata o:title=""/>
              <o:lock v:ext="edit" aspectratio="f"/>
              <v:textbox inset="0mm,0mm,0mm,0mm" style="mso-fit-shape-to-text:t;">
                <w:txbxContent>
                  <w:p>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fldChar w:fldCharType="begin"/>
                    </w:r>
                    <w:r>
                      <w:rPr>
                        <w:rFonts w:hint="eastAsia"/>
                        <w:lang w:val="en-US" w:eastAsia="zh-CN"/>
                      </w:rPr>
                      <w:instrText xml:space="preserve">=</w:instrText>
                    </w:r>
                    <w:r>
                      <w:rPr>
                        <w:rFonts w:hint="eastAsia"/>
                        <w:lang w:val="en-US" w:eastAsia="zh-CN"/>
                      </w:rPr>
                      <w:fldChar w:fldCharType="begin"/>
                    </w:r>
                    <w:r>
                      <w:rPr>
                        <w:rFonts w:hint="eastAsia"/>
                        <w:lang w:val="en-US" w:eastAsia="zh-CN"/>
                      </w:rPr>
                      <w:instrText xml:space="preserve"> </w:instrText>
                    </w:r>
                    <w:r>
                      <w:instrText xml:space="preserve"> NUMPAGES  \* MERGEFORMAT </w:instrText>
                    </w:r>
                    <w:r>
                      <w:rPr>
                        <w:rFonts w:hint="eastAsia"/>
                        <w:lang w:val="en-US" w:eastAsia="zh-CN"/>
                      </w:rPr>
                      <w:fldChar w:fldCharType="separate"/>
                    </w:r>
                    <w:r>
                      <w:rPr>
                        <w:rFonts w:hint="eastAsia"/>
                        <w:lang w:val="en-US" w:eastAsia="zh-CN"/>
                      </w:rPr>
                      <w:instrText xml:space="preserve">71</w:instrText>
                    </w:r>
                    <w:r>
                      <w:rPr>
                        <w:rFonts w:hint="eastAsia"/>
                        <w:lang w:val="en-US" w:eastAsia="zh-CN"/>
                      </w:rPr>
                      <w:fldChar w:fldCharType="end"/>
                    </w:r>
                    <w:r>
                      <w:rPr>
                        <w:rFonts w:hint="eastAsia"/>
                        <w:lang w:val="en-US" w:eastAsia="zh-CN"/>
                      </w:rPr>
                      <w:instrText xml:space="preserve">-1</w:instrText>
                    </w:r>
                    <w:r>
                      <w:fldChar w:fldCharType="separate"/>
                    </w:r>
                    <w:r>
                      <w:rPr>
                        <w:rFonts w:hint="eastAsia"/>
                      </w:rPr>
                      <w:t>62</w:t>
                    </w:r>
                    <w:r>
                      <w:fldChar w:fldCharType="end"/>
                    </w:r>
                    <w:r>
                      <w:rPr>
                        <w:rFonts w:hint="eastAsia"/>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before="0" w:after="0"/>
      </w:pPr>
      <w:r>
        <w:separator/>
      </w:r>
    </w:p>
  </w:footnote>
  <w:footnote w:type="continuationSeparator" w:id="5">
    <w:p>
      <w:pPr>
        <w:spacing w:before="0" w:after="0"/>
      </w:pPr>
      <w:r>
        <w:continuationSeparator/>
      </w:r>
    </w:p>
  </w:footnote>
  <w:footnote w:id="0">
    <w:p>
      <w:pPr>
        <w:pStyle w:val="14"/>
        <w:snapToGrid w:val="0"/>
        <w:rPr>
          <w:rFonts w:hint="eastAsia" w:eastAsia="微软雅黑"/>
          <w:u w:val="single"/>
          <w:lang w:eastAsia="zh-CN"/>
        </w:rPr>
      </w:pPr>
      <w:r>
        <w:rPr>
          <w:rStyle w:val="22"/>
        </w:rPr>
        <w:footnoteRef/>
      </w:r>
      <w:r>
        <w:t xml:space="preserve"> </w:t>
      </w:r>
      <w:r>
        <w:rPr>
          <w:rFonts w:hint="eastAsia"/>
          <w:lang w:eastAsia="zh-CN"/>
        </w:rPr>
        <w:t>从业人员、营业人员、资产总额填报上一年度数据，无上一年度数据的新成立企业可不填报。</w:t>
      </w:r>
    </w:p>
  </w:footnote>
  <w:footnote w:id="1">
    <w:p>
      <w:pPr>
        <w:pStyle w:val="14"/>
        <w:snapToGrid w:val="0"/>
      </w:pPr>
      <w:r>
        <w:rPr>
          <w:rStyle w:val="22"/>
        </w:rPr>
        <w:footnoteRef/>
      </w:r>
      <w:r>
        <w:t xml:space="preserve">  </w:t>
      </w:r>
      <w:r>
        <w:rPr>
          <w:rFonts w:hint="eastAsia"/>
          <w:lang w:eastAsia="zh-CN"/>
        </w:rPr>
        <w:t>从业人员、营业人员、资产总额填报上一年度数据，无上一年度数据的新成立企业可不填报。</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left"/>
      <w:rPr>
        <w:rFonts w:hint="eastAsia" w:eastAsia="微软雅黑"/>
        <w:lang w:eastAsia="zh-CN"/>
      </w:rPr>
    </w:pPr>
    <w:r>
      <w:rPr>
        <w:rFonts w:hint="eastAsia"/>
        <w:lang w:eastAsia="zh-CN"/>
      </w:rPr>
      <w:t>国内采购公开招标文件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63126E"/>
    <w:multiLevelType w:val="singleLevel"/>
    <w:tmpl w:val="8D63126E"/>
    <w:lvl w:ilvl="0" w:tentative="0">
      <w:start w:val="5"/>
      <w:numFmt w:val="chineseCounting"/>
      <w:suff w:val="space"/>
      <w:lvlText w:val="第%1部分"/>
      <w:lvlJc w:val="left"/>
      <w:rPr>
        <w:rFonts w:hint="eastAsia"/>
      </w:rPr>
    </w:lvl>
  </w:abstractNum>
  <w:abstractNum w:abstractNumId="1">
    <w:nsid w:val="93587489"/>
    <w:multiLevelType w:val="singleLevel"/>
    <w:tmpl w:val="93587489"/>
    <w:lvl w:ilvl="0" w:tentative="0">
      <w:start w:val="1"/>
      <w:numFmt w:val="decimal"/>
      <w:suff w:val="nothing"/>
      <w:lvlText w:val="%1、"/>
      <w:lvlJc w:val="left"/>
    </w:lvl>
  </w:abstractNum>
  <w:abstractNum w:abstractNumId="2">
    <w:nsid w:val="B2728493"/>
    <w:multiLevelType w:val="singleLevel"/>
    <w:tmpl w:val="B2728493"/>
    <w:lvl w:ilvl="0" w:tentative="0">
      <w:start w:val="1"/>
      <w:numFmt w:val="chineseCounting"/>
      <w:suff w:val="nothing"/>
      <w:lvlText w:val="%1、"/>
      <w:lvlJc w:val="left"/>
      <w:rPr>
        <w:rFonts w:hint="eastAsia"/>
        <w:sz w:val="24"/>
        <w:szCs w:val="24"/>
      </w:rPr>
    </w:lvl>
  </w:abstractNum>
  <w:abstractNum w:abstractNumId="3">
    <w:nsid w:val="CFF174A5"/>
    <w:multiLevelType w:val="singleLevel"/>
    <w:tmpl w:val="CFF174A5"/>
    <w:lvl w:ilvl="0" w:tentative="0">
      <w:start w:val="1"/>
      <w:numFmt w:val="decimal"/>
      <w:suff w:val="nothing"/>
      <w:lvlText w:val="%1、"/>
      <w:lvlJc w:val="left"/>
    </w:lvl>
  </w:abstractNum>
  <w:abstractNum w:abstractNumId="4">
    <w:nsid w:val="D0047B7E"/>
    <w:multiLevelType w:val="singleLevel"/>
    <w:tmpl w:val="D0047B7E"/>
    <w:lvl w:ilvl="0" w:tentative="0">
      <w:start w:val="1"/>
      <w:numFmt w:val="decimal"/>
      <w:suff w:val="nothing"/>
      <w:lvlText w:val="%1、"/>
      <w:lvlJc w:val="left"/>
    </w:lvl>
  </w:abstractNum>
  <w:abstractNum w:abstractNumId="5">
    <w:nsid w:val="E09EF6E1"/>
    <w:multiLevelType w:val="singleLevel"/>
    <w:tmpl w:val="E09EF6E1"/>
    <w:lvl w:ilvl="0" w:tentative="0">
      <w:start w:val="1"/>
      <w:numFmt w:val="decimal"/>
      <w:suff w:val="nothing"/>
      <w:lvlText w:val="（%1）"/>
      <w:lvlJc w:val="left"/>
    </w:lvl>
  </w:abstractNum>
  <w:abstractNum w:abstractNumId="6">
    <w:nsid w:val="F73DC5D7"/>
    <w:multiLevelType w:val="singleLevel"/>
    <w:tmpl w:val="F73DC5D7"/>
    <w:lvl w:ilvl="0" w:tentative="0">
      <w:start w:val="1"/>
      <w:numFmt w:val="decimal"/>
      <w:suff w:val="nothing"/>
      <w:lvlText w:val="（%1）"/>
      <w:lvlJc w:val="left"/>
      <w:pPr>
        <w:ind w:left="660"/>
      </w:pPr>
    </w:lvl>
  </w:abstractNum>
  <w:abstractNum w:abstractNumId="7">
    <w:nsid w:val="00000005"/>
    <w:multiLevelType w:val="multilevel"/>
    <w:tmpl w:val="00000005"/>
    <w:lvl w:ilvl="0" w:tentative="0">
      <w:start w:val="1"/>
      <w:numFmt w:val="decimal"/>
      <w:lvlText w:val="%1."/>
      <w:lvlJc w:val="left"/>
      <w:pPr>
        <w:tabs>
          <w:tab w:val="left" w:pos="0"/>
        </w:tabs>
        <w:ind w:left="0" w:firstLine="420"/>
      </w:pPr>
      <w:rPr>
        <w:rFonts w:hint="default"/>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3387DFE"/>
    <w:multiLevelType w:val="multilevel"/>
    <w:tmpl w:val="13387DFE"/>
    <w:lvl w:ilvl="0" w:tentative="0">
      <w:start w:val="1"/>
      <w:numFmt w:val="decimal"/>
      <w:lvlText w:val="%1."/>
      <w:lvlJc w:val="left"/>
      <w:pPr>
        <w:tabs>
          <w:tab w:val="left" w:pos="425"/>
        </w:tabs>
        <w:ind w:left="425" w:hanging="425"/>
      </w:pPr>
      <w:rPr>
        <w:rFonts w:hint="eastAsia" w:ascii="宋体" w:hAnsi="宋体" w:eastAsia="宋体"/>
      </w:rPr>
    </w:lvl>
    <w:lvl w:ilvl="1" w:tentative="0">
      <w:start w:val="1"/>
      <w:numFmt w:val="decimal"/>
      <w:lvlText w:val="%1.%2."/>
      <w:lvlJc w:val="left"/>
      <w:pPr>
        <w:tabs>
          <w:tab w:val="left" w:pos="567"/>
        </w:tabs>
        <w:ind w:left="567" w:hanging="567"/>
      </w:pPr>
      <w:rPr>
        <w:rFonts w:hint="eastAsia" w:ascii="宋体" w:hAnsi="宋体" w:eastAsia="宋体"/>
        <w:color w:val="auto"/>
      </w:rPr>
    </w:lvl>
    <w:lvl w:ilvl="2" w:tentative="0">
      <w:start w:val="1"/>
      <w:numFmt w:val="decimal"/>
      <w:lvlText w:val="%1.%2.%3."/>
      <w:lvlJc w:val="left"/>
      <w:pPr>
        <w:tabs>
          <w:tab w:val="left" w:pos="794"/>
        </w:tabs>
        <w:ind w:left="794" w:hanging="794"/>
      </w:pPr>
      <w:rPr>
        <w:rFonts w:hint="eastAsia" w:ascii="宋体" w:hAnsi="宋体" w:eastAsia="宋体"/>
      </w:rPr>
    </w:lvl>
    <w:lvl w:ilvl="3" w:tentative="0">
      <w:start w:val="1"/>
      <w:numFmt w:val="decimal"/>
      <w:lvlText w:val="%1.%2.%3.%4."/>
      <w:lvlJc w:val="left"/>
      <w:pPr>
        <w:tabs>
          <w:tab w:val="left" w:pos="454"/>
        </w:tabs>
        <w:ind w:left="1021" w:hanging="1021"/>
      </w:pPr>
      <w:rPr>
        <w:rFonts w:hint="eastAsia" w:ascii="宋体" w:hAnsi="宋体" w:eastAsia="宋体"/>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
    <w:nsid w:val="206CABF7"/>
    <w:multiLevelType w:val="singleLevel"/>
    <w:tmpl w:val="206CABF7"/>
    <w:lvl w:ilvl="0" w:tentative="0">
      <w:start w:val="1"/>
      <w:numFmt w:val="decimal"/>
      <w:suff w:val="nothing"/>
      <w:lvlText w:val="（%1）"/>
      <w:lvlJc w:val="left"/>
    </w:lvl>
  </w:abstractNum>
  <w:abstractNum w:abstractNumId="10">
    <w:nsid w:val="3F88662E"/>
    <w:multiLevelType w:val="singleLevel"/>
    <w:tmpl w:val="3F88662E"/>
    <w:lvl w:ilvl="0" w:tentative="0">
      <w:start w:val="1"/>
      <w:numFmt w:val="decimal"/>
      <w:suff w:val="space"/>
      <w:lvlText w:val="%1)"/>
      <w:lvlJc w:val="left"/>
    </w:lvl>
  </w:abstractNum>
  <w:abstractNum w:abstractNumId="11">
    <w:nsid w:val="580745EB"/>
    <w:multiLevelType w:val="multilevel"/>
    <w:tmpl w:val="580745EB"/>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C183DB0"/>
    <w:multiLevelType w:val="multilevel"/>
    <w:tmpl w:val="5C183DB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1"/>
  </w:num>
  <w:num w:numId="3">
    <w:abstractNumId w:val="8"/>
  </w:num>
  <w:num w:numId="4">
    <w:abstractNumId w:val="10"/>
  </w:num>
  <w:num w:numId="5">
    <w:abstractNumId w:val="9"/>
  </w:num>
  <w:num w:numId="6">
    <w:abstractNumId w:val="5"/>
  </w:num>
  <w:num w:numId="7">
    <w:abstractNumId w:val="6"/>
  </w:num>
  <w:num w:numId="8">
    <w:abstractNumId w:val="0"/>
  </w:num>
  <w:num w:numId="9">
    <w:abstractNumId w:val="3"/>
  </w:num>
  <w:num w:numId="10">
    <w:abstractNumId w:val="7"/>
  </w:num>
  <w:num w:numId="11">
    <w:abstractNumId w:val="1"/>
  </w:num>
  <w:num w:numId="12">
    <w:abstractNumId w:val="4"/>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4"/>
    <w:footnote w:id="5"/>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BkZGMxMDkyNjQ5NTkzOTgyYjBmMjI5NGM0NGU3ZjcifQ=="/>
  </w:docVars>
  <w:rsids>
    <w:rsidRoot w:val="00664F6B"/>
    <w:rsid w:val="00006462"/>
    <w:rsid w:val="000300E4"/>
    <w:rsid w:val="0003307E"/>
    <w:rsid w:val="000336BA"/>
    <w:rsid w:val="000359A1"/>
    <w:rsid w:val="0007500F"/>
    <w:rsid w:val="0008282E"/>
    <w:rsid w:val="000A363F"/>
    <w:rsid w:val="000A42A8"/>
    <w:rsid w:val="000A5063"/>
    <w:rsid w:val="000A5DBD"/>
    <w:rsid w:val="000C4524"/>
    <w:rsid w:val="000D44A6"/>
    <w:rsid w:val="000D5273"/>
    <w:rsid w:val="000F09D9"/>
    <w:rsid w:val="000F0E98"/>
    <w:rsid w:val="001049A5"/>
    <w:rsid w:val="001242F3"/>
    <w:rsid w:val="00134CAD"/>
    <w:rsid w:val="0013730B"/>
    <w:rsid w:val="00137853"/>
    <w:rsid w:val="00137E1C"/>
    <w:rsid w:val="00147012"/>
    <w:rsid w:val="00173126"/>
    <w:rsid w:val="00173905"/>
    <w:rsid w:val="00173E04"/>
    <w:rsid w:val="00175D29"/>
    <w:rsid w:val="001844F4"/>
    <w:rsid w:val="00185039"/>
    <w:rsid w:val="001A06D8"/>
    <w:rsid w:val="001A2D42"/>
    <w:rsid w:val="001A2EF7"/>
    <w:rsid w:val="001B41CF"/>
    <w:rsid w:val="001B5860"/>
    <w:rsid w:val="001C1135"/>
    <w:rsid w:val="001C15AE"/>
    <w:rsid w:val="001C4661"/>
    <w:rsid w:val="001C5689"/>
    <w:rsid w:val="001C6E4B"/>
    <w:rsid w:val="001F0070"/>
    <w:rsid w:val="001F4B02"/>
    <w:rsid w:val="002065A7"/>
    <w:rsid w:val="0021149E"/>
    <w:rsid w:val="00213021"/>
    <w:rsid w:val="00216BE9"/>
    <w:rsid w:val="0022503E"/>
    <w:rsid w:val="00225BB4"/>
    <w:rsid w:val="00226313"/>
    <w:rsid w:val="00240F5F"/>
    <w:rsid w:val="00244C00"/>
    <w:rsid w:val="00247AE0"/>
    <w:rsid w:val="002504F8"/>
    <w:rsid w:val="00260AC1"/>
    <w:rsid w:val="0026312D"/>
    <w:rsid w:val="0027078E"/>
    <w:rsid w:val="00284156"/>
    <w:rsid w:val="00285643"/>
    <w:rsid w:val="002867A1"/>
    <w:rsid w:val="002901F8"/>
    <w:rsid w:val="002A540A"/>
    <w:rsid w:val="002B4087"/>
    <w:rsid w:val="002B5F6C"/>
    <w:rsid w:val="002C165E"/>
    <w:rsid w:val="002C6C78"/>
    <w:rsid w:val="002D1594"/>
    <w:rsid w:val="002D3F9C"/>
    <w:rsid w:val="002D503C"/>
    <w:rsid w:val="002D7E27"/>
    <w:rsid w:val="002E17E5"/>
    <w:rsid w:val="002E6B7E"/>
    <w:rsid w:val="0030669E"/>
    <w:rsid w:val="00320CEA"/>
    <w:rsid w:val="00323B43"/>
    <w:rsid w:val="00326831"/>
    <w:rsid w:val="003274CE"/>
    <w:rsid w:val="003430F6"/>
    <w:rsid w:val="0038564C"/>
    <w:rsid w:val="00393B1D"/>
    <w:rsid w:val="003A1D97"/>
    <w:rsid w:val="003C3B19"/>
    <w:rsid w:val="003C412B"/>
    <w:rsid w:val="003C415C"/>
    <w:rsid w:val="003D36FB"/>
    <w:rsid w:val="003D37D8"/>
    <w:rsid w:val="003E2B8C"/>
    <w:rsid w:val="003F4822"/>
    <w:rsid w:val="00401CC0"/>
    <w:rsid w:val="00410F11"/>
    <w:rsid w:val="004203B9"/>
    <w:rsid w:val="00421BCF"/>
    <w:rsid w:val="004322A2"/>
    <w:rsid w:val="004358AB"/>
    <w:rsid w:val="00451EB4"/>
    <w:rsid w:val="00460B31"/>
    <w:rsid w:val="00462105"/>
    <w:rsid w:val="00475A80"/>
    <w:rsid w:val="00490B9E"/>
    <w:rsid w:val="00497577"/>
    <w:rsid w:val="004A05D7"/>
    <w:rsid w:val="004A2B28"/>
    <w:rsid w:val="004A69F1"/>
    <w:rsid w:val="004B3550"/>
    <w:rsid w:val="004D51A2"/>
    <w:rsid w:val="004D5AFB"/>
    <w:rsid w:val="004E04FD"/>
    <w:rsid w:val="004F1BB7"/>
    <w:rsid w:val="0050759C"/>
    <w:rsid w:val="005269A9"/>
    <w:rsid w:val="00546A42"/>
    <w:rsid w:val="0055408D"/>
    <w:rsid w:val="0057492D"/>
    <w:rsid w:val="00590819"/>
    <w:rsid w:val="00593D68"/>
    <w:rsid w:val="005A208B"/>
    <w:rsid w:val="005A7612"/>
    <w:rsid w:val="005C702E"/>
    <w:rsid w:val="005D01B8"/>
    <w:rsid w:val="005D066B"/>
    <w:rsid w:val="005F573A"/>
    <w:rsid w:val="005F7EB1"/>
    <w:rsid w:val="00604B81"/>
    <w:rsid w:val="00613417"/>
    <w:rsid w:val="0061545F"/>
    <w:rsid w:val="006175DE"/>
    <w:rsid w:val="006215AC"/>
    <w:rsid w:val="00621821"/>
    <w:rsid w:val="00622362"/>
    <w:rsid w:val="00622497"/>
    <w:rsid w:val="006276AD"/>
    <w:rsid w:val="006378D4"/>
    <w:rsid w:val="0064416A"/>
    <w:rsid w:val="0065365D"/>
    <w:rsid w:val="0065543F"/>
    <w:rsid w:val="00664F6B"/>
    <w:rsid w:val="006731D2"/>
    <w:rsid w:val="00682986"/>
    <w:rsid w:val="006913C9"/>
    <w:rsid w:val="00691701"/>
    <w:rsid w:val="00691AE0"/>
    <w:rsid w:val="0069491E"/>
    <w:rsid w:val="006B7878"/>
    <w:rsid w:val="006C14BD"/>
    <w:rsid w:val="006C28E5"/>
    <w:rsid w:val="006D1BA8"/>
    <w:rsid w:val="006D393E"/>
    <w:rsid w:val="006D4AD8"/>
    <w:rsid w:val="006E0B58"/>
    <w:rsid w:val="006E0C4B"/>
    <w:rsid w:val="007110BA"/>
    <w:rsid w:val="00711465"/>
    <w:rsid w:val="0072310A"/>
    <w:rsid w:val="00723B11"/>
    <w:rsid w:val="007343A7"/>
    <w:rsid w:val="00734BB2"/>
    <w:rsid w:val="0075028E"/>
    <w:rsid w:val="007608B9"/>
    <w:rsid w:val="00761AAB"/>
    <w:rsid w:val="007724B4"/>
    <w:rsid w:val="007818FB"/>
    <w:rsid w:val="007916E7"/>
    <w:rsid w:val="00797C5D"/>
    <w:rsid w:val="00797D2F"/>
    <w:rsid w:val="007A34B9"/>
    <w:rsid w:val="007A6F47"/>
    <w:rsid w:val="007C4F46"/>
    <w:rsid w:val="007C7297"/>
    <w:rsid w:val="007D1B4F"/>
    <w:rsid w:val="007D2F9E"/>
    <w:rsid w:val="007D3175"/>
    <w:rsid w:val="007D48BF"/>
    <w:rsid w:val="007D5C45"/>
    <w:rsid w:val="007E2543"/>
    <w:rsid w:val="007E4A26"/>
    <w:rsid w:val="007F01B0"/>
    <w:rsid w:val="007F2CD8"/>
    <w:rsid w:val="007F4DC5"/>
    <w:rsid w:val="00806380"/>
    <w:rsid w:val="0081104F"/>
    <w:rsid w:val="00822299"/>
    <w:rsid w:val="00833E43"/>
    <w:rsid w:val="0083486A"/>
    <w:rsid w:val="00841378"/>
    <w:rsid w:val="00842B87"/>
    <w:rsid w:val="00845BEB"/>
    <w:rsid w:val="008472E6"/>
    <w:rsid w:val="00853463"/>
    <w:rsid w:val="0086026F"/>
    <w:rsid w:val="008640F5"/>
    <w:rsid w:val="008907DA"/>
    <w:rsid w:val="008A0587"/>
    <w:rsid w:val="008B7726"/>
    <w:rsid w:val="008D429E"/>
    <w:rsid w:val="008D5A10"/>
    <w:rsid w:val="008E319F"/>
    <w:rsid w:val="008E619C"/>
    <w:rsid w:val="008F6E0E"/>
    <w:rsid w:val="008F79E1"/>
    <w:rsid w:val="00906F49"/>
    <w:rsid w:val="00914604"/>
    <w:rsid w:val="00923533"/>
    <w:rsid w:val="00930A38"/>
    <w:rsid w:val="00934170"/>
    <w:rsid w:val="00942948"/>
    <w:rsid w:val="009474B5"/>
    <w:rsid w:val="00972D86"/>
    <w:rsid w:val="009736BF"/>
    <w:rsid w:val="0097392B"/>
    <w:rsid w:val="00976066"/>
    <w:rsid w:val="00980A66"/>
    <w:rsid w:val="009904F7"/>
    <w:rsid w:val="009910F6"/>
    <w:rsid w:val="009A7058"/>
    <w:rsid w:val="009C6AD9"/>
    <w:rsid w:val="009D55C3"/>
    <w:rsid w:val="009E398C"/>
    <w:rsid w:val="009E6F05"/>
    <w:rsid w:val="00A10906"/>
    <w:rsid w:val="00A14EEF"/>
    <w:rsid w:val="00A25E78"/>
    <w:rsid w:val="00A61230"/>
    <w:rsid w:val="00A813C5"/>
    <w:rsid w:val="00A824E6"/>
    <w:rsid w:val="00A858DC"/>
    <w:rsid w:val="00A94D14"/>
    <w:rsid w:val="00AB19CE"/>
    <w:rsid w:val="00AB3969"/>
    <w:rsid w:val="00AC187B"/>
    <w:rsid w:val="00AC5C21"/>
    <w:rsid w:val="00AE310E"/>
    <w:rsid w:val="00AE4FC5"/>
    <w:rsid w:val="00AF5F1F"/>
    <w:rsid w:val="00B027A4"/>
    <w:rsid w:val="00B236B3"/>
    <w:rsid w:val="00B26534"/>
    <w:rsid w:val="00B26806"/>
    <w:rsid w:val="00B31B24"/>
    <w:rsid w:val="00B4287F"/>
    <w:rsid w:val="00B4315F"/>
    <w:rsid w:val="00B60DAB"/>
    <w:rsid w:val="00B7194E"/>
    <w:rsid w:val="00B763B0"/>
    <w:rsid w:val="00B93045"/>
    <w:rsid w:val="00BA4130"/>
    <w:rsid w:val="00BB2CAF"/>
    <w:rsid w:val="00BC3E74"/>
    <w:rsid w:val="00BD630F"/>
    <w:rsid w:val="00BD7C1B"/>
    <w:rsid w:val="00BF17FD"/>
    <w:rsid w:val="00BF41D4"/>
    <w:rsid w:val="00BF5AFB"/>
    <w:rsid w:val="00C16734"/>
    <w:rsid w:val="00C17B47"/>
    <w:rsid w:val="00C25C77"/>
    <w:rsid w:val="00C303E7"/>
    <w:rsid w:val="00C319C2"/>
    <w:rsid w:val="00C62E44"/>
    <w:rsid w:val="00C63BD8"/>
    <w:rsid w:val="00C65954"/>
    <w:rsid w:val="00C7126B"/>
    <w:rsid w:val="00C72C24"/>
    <w:rsid w:val="00C73468"/>
    <w:rsid w:val="00C80EC4"/>
    <w:rsid w:val="00C8568E"/>
    <w:rsid w:val="00CC584A"/>
    <w:rsid w:val="00CC5E4E"/>
    <w:rsid w:val="00CD0EAB"/>
    <w:rsid w:val="00CE2AF3"/>
    <w:rsid w:val="00CE3195"/>
    <w:rsid w:val="00CE621D"/>
    <w:rsid w:val="00CE66E8"/>
    <w:rsid w:val="00D05388"/>
    <w:rsid w:val="00D114CD"/>
    <w:rsid w:val="00D14476"/>
    <w:rsid w:val="00D232FF"/>
    <w:rsid w:val="00D279AA"/>
    <w:rsid w:val="00D34544"/>
    <w:rsid w:val="00D44A97"/>
    <w:rsid w:val="00D45C0C"/>
    <w:rsid w:val="00D508A5"/>
    <w:rsid w:val="00D5104B"/>
    <w:rsid w:val="00D555D8"/>
    <w:rsid w:val="00D60778"/>
    <w:rsid w:val="00D64D28"/>
    <w:rsid w:val="00D6604D"/>
    <w:rsid w:val="00D677F1"/>
    <w:rsid w:val="00D74601"/>
    <w:rsid w:val="00D83E46"/>
    <w:rsid w:val="00D847B6"/>
    <w:rsid w:val="00DA6169"/>
    <w:rsid w:val="00DB5480"/>
    <w:rsid w:val="00DB6317"/>
    <w:rsid w:val="00DC5AD9"/>
    <w:rsid w:val="00DC691F"/>
    <w:rsid w:val="00DD02DE"/>
    <w:rsid w:val="00DD07B7"/>
    <w:rsid w:val="00DD113C"/>
    <w:rsid w:val="00DE0BEB"/>
    <w:rsid w:val="00DE4856"/>
    <w:rsid w:val="00DF485B"/>
    <w:rsid w:val="00E21B77"/>
    <w:rsid w:val="00E40CAD"/>
    <w:rsid w:val="00E44530"/>
    <w:rsid w:val="00E61D2E"/>
    <w:rsid w:val="00E62B7F"/>
    <w:rsid w:val="00E726BC"/>
    <w:rsid w:val="00E72821"/>
    <w:rsid w:val="00E81DDC"/>
    <w:rsid w:val="00E81F67"/>
    <w:rsid w:val="00E83650"/>
    <w:rsid w:val="00E83A31"/>
    <w:rsid w:val="00E93E51"/>
    <w:rsid w:val="00E97CC0"/>
    <w:rsid w:val="00EA2524"/>
    <w:rsid w:val="00EC092D"/>
    <w:rsid w:val="00EC0DF8"/>
    <w:rsid w:val="00ED378B"/>
    <w:rsid w:val="00EE08F9"/>
    <w:rsid w:val="00EE5B3F"/>
    <w:rsid w:val="00EF728A"/>
    <w:rsid w:val="00EF7D0D"/>
    <w:rsid w:val="00F00FF7"/>
    <w:rsid w:val="00F02093"/>
    <w:rsid w:val="00F068E3"/>
    <w:rsid w:val="00F10B5F"/>
    <w:rsid w:val="00F218C1"/>
    <w:rsid w:val="00F321EB"/>
    <w:rsid w:val="00F346CF"/>
    <w:rsid w:val="00F3610C"/>
    <w:rsid w:val="00F52A5F"/>
    <w:rsid w:val="00F55954"/>
    <w:rsid w:val="00F61962"/>
    <w:rsid w:val="00F62865"/>
    <w:rsid w:val="00F64022"/>
    <w:rsid w:val="00F64660"/>
    <w:rsid w:val="00F97062"/>
    <w:rsid w:val="00F9745D"/>
    <w:rsid w:val="00FC7B53"/>
    <w:rsid w:val="00FD48CC"/>
    <w:rsid w:val="00FE62D1"/>
    <w:rsid w:val="00FF26BF"/>
    <w:rsid w:val="01352120"/>
    <w:rsid w:val="014A197B"/>
    <w:rsid w:val="018023CE"/>
    <w:rsid w:val="01881AD6"/>
    <w:rsid w:val="018D66D3"/>
    <w:rsid w:val="01B938AA"/>
    <w:rsid w:val="02126CDB"/>
    <w:rsid w:val="021832B7"/>
    <w:rsid w:val="0249299B"/>
    <w:rsid w:val="024C279F"/>
    <w:rsid w:val="024E2E49"/>
    <w:rsid w:val="0299659E"/>
    <w:rsid w:val="02A741FD"/>
    <w:rsid w:val="02B5367C"/>
    <w:rsid w:val="02C16E5D"/>
    <w:rsid w:val="02D964CF"/>
    <w:rsid w:val="031C3562"/>
    <w:rsid w:val="03707410"/>
    <w:rsid w:val="037F03E3"/>
    <w:rsid w:val="03A0770F"/>
    <w:rsid w:val="03A27BF9"/>
    <w:rsid w:val="03A448B8"/>
    <w:rsid w:val="03AD071E"/>
    <w:rsid w:val="03EF3A58"/>
    <w:rsid w:val="04852899"/>
    <w:rsid w:val="04C15D56"/>
    <w:rsid w:val="04DF1036"/>
    <w:rsid w:val="05A97DEC"/>
    <w:rsid w:val="05C81981"/>
    <w:rsid w:val="05FD3AF6"/>
    <w:rsid w:val="06BC41F2"/>
    <w:rsid w:val="07197D08"/>
    <w:rsid w:val="071C2CFD"/>
    <w:rsid w:val="071E5C55"/>
    <w:rsid w:val="073F7319"/>
    <w:rsid w:val="07595F41"/>
    <w:rsid w:val="07615EC0"/>
    <w:rsid w:val="077005AB"/>
    <w:rsid w:val="078F4581"/>
    <w:rsid w:val="07995C5E"/>
    <w:rsid w:val="07BE179A"/>
    <w:rsid w:val="07BF027F"/>
    <w:rsid w:val="08031A31"/>
    <w:rsid w:val="081A5CC7"/>
    <w:rsid w:val="08A276E5"/>
    <w:rsid w:val="09061A75"/>
    <w:rsid w:val="09182241"/>
    <w:rsid w:val="092C5DD8"/>
    <w:rsid w:val="093C069F"/>
    <w:rsid w:val="09855177"/>
    <w:rsid w:val="09F1637C"/>
    <w:rsid w:val="0A25628F"/>
    <w:rsid w:val="0AA534D5"/>
    <w:rsid w:val="0AA650EB"/>
    <w:rsid w:val="0AB8066A"/>
    <w:rsid w:val="0ACF69F0"/>
    <w:rsid w:val="0AF47339"/>
    <w:rsid w:val="0B22594B"/>
    <w:rsid w:val="0B636B1C"/>
    <w:rsid w:val="0BC044BE"/>
    <w:rsid w:val="0BDF26F7"/>
    <w:rsid w:val="0C253327"/>
    <w:rsid w:val="0C264099"/>
    <w:rsid w:val="0C2B4952"/>
    <w:rsid w:val="0C2F7743"/>
    <w:rsid w:val="0C520830"/>
    <w:rsid w:val="0C7B2220"/>
    <w:rsid w:val="0CBE36E5"/>
    <w:rsid w:val="0D890E47"/>
    <w:rsid w:val="0DC64A00"/>
    <w:rsid w:val="0DFC60BA"/>
    <w:rsid w:val="0E4249F1"/>
    <w:rsid w:val="0F615AC3"/>
    <w:rsid w:val="0F7C5FF6"/>
    <w:rsid w:val="0FC16490"/>
    <w:rsid w:val="0FC63FBD"/>
    <w:rsid w:val="10204A5C"/>
    <w:rsid w:val="106C564D"/>
    <w:rsid w:val="107B7B8F"/>
    <w:rsid w:val="107C67CE"/>
    <w:rsid w:val="109D68CB"/>
    <w:rsid w:val="10A949B8"/>
    <w:rsid w:val="11200D07"/>
    <w:rsid w:val="112A3D7C"/>
    <w:rsid w:val="11360F47"/>
    <w:rsid w:val="11DA73AF"/>
    <w:rsid w:val="12264683"/>
    <w:rsid w:val="12685B42"/>
    <w:rsid w:val="12C60D80"/>
    <w:rsid w:val="131F7A3A"/>
    <w:rsid w:val="132645D0"/>
    <w:rsid w:val="132E28A8"/>
    <w:rsid w:val="13364603"/>
    <w:rsid w:val="13455ABC"/>
    <w:rsid w:val="1370322B"/>
    <w:rsid w:val="13B27845"/>
    <w:rsid w:val="141A03E1"/>
    <w:rsid w:val="143B2E0B"/>
    <w:rsid w:val="14672B11"/>
    <w:rsid w:val="14892735"/>
    <w:rsid w:val="14CC769D"/>
    <w:rsid w:val="14CF4234"/>
    <w:rsid w:val="15BA031B"/>
    <w:rsid w:val="15D359D7"/>
    <w:rsid w:val="15D81E0F"/>
    <w:rsid w:val="163C77BE"/>
    <w:rsid w:val="167352A7"/>
    <w:rsid w:val="1679588C"/>
    <w:rsid w:val="16994962"/>
    <w:rsid w:val="16A71041"/>
    <w:rsid w:val="16AA24BF"/>
    <w:rsid w:val="16F72341"/>
    <w:rsid w:val="17247020"/>
    <w:rsid w:val="17680CAB"/>
    <w:rsid w:val="176E4128"/>
    <w:rsid w:val="1774471D"/>
    <w:rsid w:val="177B4A7E"/>
    <w:rsid w:val="17817E36"/>
    <w:rsid w:val="1783371F"/>
    <w:rsid w:val="17A86834"/>
    <w:rsid w:val="17E62B67"/>
    <w:rsid w:val="180F4499"/>
    <w:rsid w:val="18174E28"/>
    <w:rsid w:val="18221ECE"/>
    <w:rsid w:val="198F09BF"/>
    <w:rsid w:val="19A2789F"/>
    <w:rsid w:val="19C937D2"/>
    <w:rsid w:val="1A460CF5"/>
    <w:rsid w:val="1A7F297D"/>
    <w:rsid w:val="1AB16AC1"/>
    <w:rsid w:val="1B034A52"/>
    <w:rsid w:val="1B1F34AD"/>
    <w:rsid w:val="1B8D5DC6"/>
    <w:rsid w:val="1C2775EC"/>
    <w:rsid w:val="1C750ECE"/>
    <w:rsid w:val="1D0836D7"/>
    <w:rsid w:val="1D196139"/>
    <w:rsid w:val="1D980110"/>
    <w:rsid w:val="1DB85900"/>
    <w:rsid w:val="1E010AF7"/>
    <w:rsid w:val="1E0178EB"/>
    <w:rsid w:val="1E301173"/>
    <w:rsid w:val="1E6E7FF5"/>
    <w:rsid w:val="1E7052F1"/>
    <w:rsid w:val="1E915F1D"/>
    <w:rsid w:val="1EA40BB4"/>
    <w:rsid w:val="1F43381C"/>
    <w:rsid w:val="1FA4148D"/>
    <w:rsid w:val="1FD37809"/>
    <w:rsid w:val="20121621"/>
    <w:rsid w:val="201A421D"/>
    <w:rsid w:val="204E554F"/>
    <w:rsid w:val="205475FA"/>
    <w:rsid w:val="20590035"/>
    <w:rsid w:val="20B473ED"/>
    <w:rsid w:val="20FC799E"/>
    <w:rsid w:val="22154DDD"/>
    <w:rsid w:val="22213E42"/>
    <w:rsid w:val="22336873"/>
    <w:rsid w:val="22622A86"/>
    <w:rsid w:val="238C2182"/>
    <w:rsid w:val="239015D1"/>
    <w:rsid w:val="23BB4E7D"/>
    <w:rsid w:val="23C172D6"/>
    <w:rsid w:val="23F04F64"/>
    <w:rsid w:val="241B0EE7"/>
    <w:rsid w:val="24814CBE"/>
    <w:rsid w:val="24AC168B"/>
    <w:rsid w:val="258C3BEC"/>
    <w:rsid w:val="260E3862"/>
    <w:rsid w:val="262569FC"/>
    <w:rsid w:val="26344C98"/>
    <w:rsid w:val="26F47E27"/>
    <w:rsid w:val="26F56CE2"/>
    <w:rsid w:val="27A34F71"/>
    <w:rsid w:val="27B36A67"/>
    <w:rsid w:val="27EB0D9B"/>
    <w:rsid w:val="28062AF6"/>
    <w:rsid w:val="286602C8"/>
    <w:rsid w:val="28665C95"/>
    <w:rsid w:val="28BD3BFB"/>
    <w:rsid w:val="290B3EB9"/>
    <w:rsid w:val="291418C2"/>
    <w:rsid w:val="292F7F60"/>
    <w:rsid w:val="2938789E"/>
    <w:rsid w:val="2950768C"/>
    <w:rsid w:val="297A5FC4"/>
    <w:rsid w:val="2A1113BC"/>
    <w:rsid w:val="2A2233BA"/>
    <w:rsid w:val="2A8D4F8F"/>
    <w:rsid w:val="2A911082"/>
    <w:rsid w:val="2A917B34"/>
    <w:rsid w:val="2AD65F8D"/>
    <w:rsid w:val="2AE3766F"/>
    <w:rsid w:val="2B7E4054"/>
    <w:rsid w:val="2BF22742"/>
    <w:rsid w:val="2C987C56"/>
    <w:rsid w:val="2C9B617E"/>
    <w:rsid w:val="2C9F690E"/>
    <w:rsid w:val="2CA62EE9"/>
    <w:rsid w:val="2CF0371A"/>
    <w:rsid w:val="2CFF149A"/>
    <w:rsid w:val="2D0A6F86"/>
    <w:rsid w:val="2D201865"/>
    <w:rsid w:val="2D4B5CEA"/>
    <w:rsid w:val="2D505AA8"/>
    <w:rsid w:val="2D652658"/>
    <w:rsid w:val="2DC80C49"/>
    <w:rsid w:val="2DCA6355"/>
    <w:rsid w:val="2DF0699F"/>
    <w:rsid w:val="2E166748"/>
    <w:rsid w:val="2E556F01"/>
    <w:rsid w:val="2E8E20B4"/>
    <w:rsid w:val="2E9128E7"/>
    <w:rsid w:val="2EA81D8B"/>
    <w:rsid w:val="2EC23FA9"/>
    <w:rsid w:val="2ED06066"/>
    <w:rsid w:val="2ED1223D"/>
    <w:rsid w:val="2EE470F7"/>
    <w:rsid w:val="2F000139"/>
    <w:rsid w:val="2F3B658D"/>
    <w:rsid w:val="2F561B8A"/>
    <w:rsid w:val="2F9F42DC"/>
    <w:rsid w:val="2FF37AB3"/>
    <w:rsid w:val="30306B78"/>
    <w:rsid w:val="30FF27D2"/>
    <w:rsid w:val="31170995"/>
    <w:rsid w:val="31240628"/>
    <w:rsid w:val="31264A30"/>
    <w:rsid w:val="31884E67"/>
    <w:rsid w:val="31A0275E"/>
    <w:rsid w:val="31ED6B08"/>
    <w:rsid w:val="3245309D"/>
    <w:rsid w:val="328464CE"/>
    <w:rsid w:val="32AB70C5"/>
    <w:rsid w:val="32DC33E0"/>
    <w:rsid w:val="32FD5BB6"/>
    <w:rsid w:val="335D0AF5"/>
    <w:rsid w:val="3370088C"/>
    <w:rsid w:val="33A3154A"/>
    <w:rsid w:val="33D323C2"/>
    <w:rsid w:val="33DC2F78"/>
    <w:rsid w:val="3428227C"/>
    <w:rsid w:val="35260F83"/>
    <w:rsid w:val="35383FD8"/>
    <w:rsid w:val="35602226"/>
    <w:rsid w:val="356B72E7"/>
    <w:rsid w:val="3572424F"/>
    <w:rsid w:val="35862F35"/>
    <w:rsid w:val="35DE3E0E"/>
    <w:rsid w:val="35FC3844"/>
    <w:rsid w:val="36AD519D"/>
    <w:rsid w:val="36B57705"/>
    <w:rsid w:val="36C65B9E"/>
    <w:rsid w:val="3798162D"/>
    <w:rsid w:val="37A103ED"/>
    <w:rsid w:val="37A15FDF"/>
    <w:rsid w:val="37C23736"/>
    <w:rsid w:val="37EA5E6E"/>
    <w:rsid w:val="37FF016F"/>
    <w:rsid w:val="38223A66"/>
    <w:rsid w:val="38427C0B"/>
    <w:rsid w:val="387C5ABE"/>
    <w:rsid w:val="389B3A1E"/>
    <w:rsid w:val="38BC039E"/>
    <w:rsid w:val="38E93452"/>
    <w:rsid w:val="38EB6119"/>
    <w:rsid w:val="39FE0BE9"/>
    <w:rsid w:val="3A3C1AAF"/>
    <w:rsid w:val="3A51228C"/>
    <w:rsid w:val="3A552E60"/>
    <w:rsid w:val="3A5D642F"/>
    <w:rsid w:val="3A75574D"/>
    <w:rsid w:val="3AB210FC"/>
    <w:rsid w:val="3AD95C13"/>
    <w:rsid w:val="3B261E51"/>
    <w:rsid w:val="3BCD72F7"/>
    <w:rsid w:val="3BE9317E"/>
    <w:rsid w:val="3C414142"/>
    <w:rsid w:val="3C810CF7"/>
    <w:rsid w:val="3CF737A2"/>
    <w:rsid w:val="3D10295A"/>
    <w:rsid w:val="3D392227"/>
    <w:rsid w:val="3D7A5142"/>
    <w:rsid w:val="3DD43E73"/>
    <w:rsid w:val="3E0572FD"/>
    <w:rsid w:val="3E1A5292"/>
    <w:rsid w:val="3E5A7FE7"/>
    <w:rsid w:val="3EC8179E"/>
    <w:rsid w:val="3EF66B2E"/>
    <w:rsid w:val="3F217914"/>
    <w:rsid w:val="3F521E8F"/>
    <w:rsid w:val="3FD70BB0"/>
    <w:rsid w:val="3FFB55AC"/>
    <w:rsid w:val="401C5F9D"/>
    <w:rsid w:val="401C690C"/>
    <w:rsid w:val="401D7195"/>
    <w:rsid w:val="40CB02B8"/>
    <w:rsid w:val="40CE3DC0"/>
    <w:rsid w:val="40D7455A"/>
    <w:rsid w:val="40E743E5"/>
    <w:rsid w:val="4110038E"/>
    <w:rsid w:val="41734CBA"/>
    <w:rsid w:val="41DD7057"/>
    <w:rsid w:val="41FE3FEA"/>
    <w:rsid w:val="420F7A65"/>
    <w:rsid w:val="4216611A"/>
    <w:rsid w:val="423E300F"/>
    <w:rsid w:val="425656C8"/>
    <w:rsid w:val="4257273C"/>
    <w:rsid w:val="425D7213"/>
    <w:rsid w:val="42677B61"/>
    <w:rsid w:val="42756DB0"/>
    <w:rsid w:val="42B21AD2"/>
    <w:rsid w:val="42FD694D"/>
    <w:rsid w:val="43FA5777"/>
    <w:rsid w:val="44044D92"/>
    <w:rsid w:val="441C1611"/>
    <w:rsid w:val="443C2E56"/>
    <w:rsid w:val="443C440B"/>
    <w:rsid w:val="443F7DBF"/>
    <w:rsid w:val="44514F52"/>
    <w:rsid w:val="448965CB"/>
    <w:rsid w:val="44FA2D53"/>
    <w:rsid w:val="45561B36"/>
    <w:rsid w:val="4571374F"/>
    <w:rsid w:val="458B1BB0"/>
    <w:rsid w:val="4611075B"/>
    <w:rsid w:val="46214818"/>
    <w:rsid w:val="463A279D"/>
    <w:rsid w:val="467A0297"/>
    <w:rsid w:val="468B7125"/>
    <w:rsid w:val="46C4691F"/>
    <w:rsid w:val="46E1045D"/>
    <w:rsid w:val="479D1D34"/>
    <w:rsid w:val="47B609C0"/>
    <w:rsid w:val="480A798E"/>
    <w:rsid w:val="482D31EA"/>
    <w:rsid w:val="485970A0"/>
    <w:rsid w:val="48A41906"/>
    <w:rsid w:val="48B0738C"/>
    <w:rsid w:val="48B44984"/>
    <w:rsid w:val="48B65C71"/>
    <w:rsid w:val="48F303D7"/>
    <w:rsid w:val="492837FF"/>
    <w:rsid w:val="492E6A57"/>
    <w:rsid w:val="4A0030EE"/>
    <w:rsid w:val="4A233069"/>
    <w:rsid w:val="4A553F2B"/>
    <w:rsid w:val="4AC36065"/>
    <w:rsid w:val="4B0E36E4"/>
    <w:rsid w:val="4B7501F5"/>
    <w:rsid w:val="4B8C2DEB"/>
    <w:rsid w:val="4BFA3C9F"/>
    <w:rsid w:val="4C0E3379"/>
    <w:rsid w:val="4C107F48"/>
    <w:rsid w:val="4C3277BC"/>
    <w:rsid w:val="4CC353EB"/>
    <w:rsid w:val="4CEF2539"/>
    <w:rsid w:val="4CF36F3C"/>
    <w:rsid w:val="4D280910"/>
    <w:rsid w:val="4D3D1FBE"/>
    <w:rsid w:val="4D4F67BA"/>
    <w:rsid w:val="4D603399"/>
    <w:rsid w:val="4D867EE1"/>
    <w:rsid w:val="4D9D3C73"/>
    <w:rsid w:val="4DBC4C65"/>
    <w:rsid w:val="4DF6568D"/>
    <w:rsid w:val="4E3E3388"/>
    <w:rsid w:val="4E550010"/>
    <w:rsid w:val="4E5F14CB"/>
    <w:rsid w:val="4F3705F8"/>
    <w:rsid w:val="4F8B2097"/>
    <w:rsid w:val="4FAC3540"/>
    <w:rsid w:val="4FBB12F4"/>
    <w:rsid w:val="4FCF1583"/>
    <w:rsid w:val="4FFA7625"/>
    <w:rsid w:val="501B0BF9"/>
    <w:rsid w:val="502D20E1"/>
    <w:rsid w:val="507858EC"/>
    <w:rsid w:val="507D2599"/>
    <w:rsid w:val="5096229D"/>
    <w:rsid w:val="50DC4184"/>
    <w:rsid w:val="51475B39"/>
    <w:rsid w:val="514C3EA7"/>
    <w:rsid w:val="519849E5"/>
    <w:rsid w:val="51B36892"/>
    <w:rsid w:val="52506DA7"/>
    <w:rsid w:val="52957C27"/>
    <w:rsid w:val="532038D9"/>
    <w:rsid w:val="533B2B84"/>
    <w:rsid w:val="537A7243"/>
    <w:rsid w:val="539C1B81"/>
    <w:rsid w:val="53AE750F"/>
    <w:rsid w:val="53F263AD"/>
    <w:rsid w:val="54406242"/>
    <w:rsid w:val="549A6BFA"/>
    <w:rsid w:val="54E72921"/>
    <w:rsid w:val="550165CB"/>
    <w:rsid w:val="55806F07"/>
    <w:rsid w:val="55F80036"/>
    <w:rsid w:val="55FA2961"/>
    <w:rsid w:val="565E7F4F"/>
    <w:rsid w:val="56775789"/>
    <w:rsid w:val="56857D06"/>
    <w:rsid w:val="56914056"/>
    <w:rsid w:val="56A4657E"/>
    <w:rsid w:val="56DB613D"/>
    <w:rsid w:val="575D7270"/>
    <w:rsid w:val="57C9038A"/>
    <w:rsid w:val="57FC2169"/>
    <w:rsid w:val="58096275"/>
    <w:rsid w:val="581C04F1"/>
    <w:rsid w:val="582E6EF7"/>
    <w:rsid w:val="58434392"/>
    <w:rsid w:val="584E30E6"/>
    <w:rsid w:val="59014D02"/>
    <w:rsid w:val="59731841"/>
    <w:rsid w:val="597B384D"/>
    <w:rsid w:val="59996DA8"/>
    <w:rsid w:val="59C30F1B"/>
    <w:rsid w:val="59D011FC"/>
    <w:rsid w:val="59FE4947"/>
    <w:rsid w:val="5A0D5854"/>
    <w:rsid w:val="5A20156F"/>
    <w:rsid w:val="5A8F0814"/>
    <w:rsid w:val="5AC7121C"/>
    <w:rsid w:val="5AD90B8D"/>
    <w:rsid w:val="5AE12927"/>
    <w:rsid w:val="5B2243E9"/>
    <w:rsid w:val="5B4E1A44"/>
    <w:rsid w:val="5B666742"/>
    <w:rsid w:val="5B873201"/>
    <w:rsid w:val="5B89551D"/>
    <w:rsid w:val="5B8B1205"/>
    <w:rsid w:val="5B967767"/>
    <w:rsid w:val="5B9E55DE"/>
    <w:rsid w:val="5C286807"/>
    <w:rsid w:val="5C446BC8"/>
    <w:rsid w:val="5C4C687B"/>
    <w:rsid w:val="5C7C2768"/>
    <w:rsid w:val="5CB23AE6"/>
    <w:rsid w:val="5CF55792"/>
    <w:rsid w:val="5CFD533A"/>
    <w:rsid w:val="5D3F6E77"/>
    <w:rsid w:val="5D893B14"/>
    <w:rsid w:val="5E2B7D62"/>
    <w:rsid w:val="5EA06921"/>
    <w:rsid w:val="5EC053F5"/>
    <w:rsid w:val="5ED5006A"/>
    <w:rsid w:val="5EF378F3"/>
    <w:rsid w:val="5EF63537"/>
    <w:rsid w:val="5F576E4B"/>
    <w:rsid w:val="5F7A2C30"/>
    <w:rsid w:val="5FBA1954"/>
    <w:rsid w:val="5FBE370A"/>
    <w:rsid w:val="5FE540E9"/>
    <w:rsid w:val="60292845"/>
    <w:rsid w:val="612E1A5D"/>
    <w:rsid w:val="61816046"/>
    <w:rsid w:val="61AB472F"/>
    <w:rsid w:val="62391564"/>
    <w:rsid w:val="62704519"/>
    <w:rsid w:val="62816669"/>
    <w:rsid w:val="62BA0953"/>
    <w:rsid w:val="62D03A7C"/>
    <w:rsid w:val="62F16BCB"/>
    <w:rsid w:val="62F648FE"/>
    <w:rsid w:val="62F6696D"/>
    <w:rsid w:val="63341DB1"/>
    <w:rsid w:val="63A10995"/>
    <w:rsid w:val="63C23EFA"/>
    <w:rsid w:val="643A070A"/>
    <w:rsid w:val="644C573D"/>
    <w:rsid w:val="648667A7"/>
    <w:rsid w:val="649A52CA"/>
    <w:rsid w:val="64DB383A"/>
    <w:rsid w:val="65032F85"/>
    <w:rsid w:val="65136B50"/>
    <w:rsid w:val="657E2A35"/>
    <w:rsid w:val="65A94E9D"/>
    <w:rsid w:val="65C60A92"/>
    <w:rsid w:val="66DD6702"/>
    <w:rsid w:val="675E2397"/>
    <w:rsid w:val="67912A18"/>
    <w:rsid w:val="679406CB"/>
    <w:rsid w:val="67B553A8"/>
    <w:rsid w:val="67C35C0B"/>
    <w:rsid w:val="67D46074"/>
    <w:rsid w:val="68AD17BB"/>
    <w:rsid w:val="68D94D22"/>
    <w:rsid w:val="692B2E4A"/>
    <w:rsid w:val="694303FB"/>
    <w:rsid w:val="696A0B34"/>
    <w:rsid w:val="698D6A17"/>
    <w:rsid w:val="69ED35EC"/>
    <w:rsid w:val="69EE3535"/>
    <w:rsid w:val="69F954C1"/>
    <w:rsid w:val="6A2031B6"/>
    <w:rsid w:val="6A440C53"/>
    <w:rsid w:val="6AA26B69"/>
    <w:rsid w:val="6AA42497"/>
    <w:rsid w:val="6AC61F6F"/>
    <w:rsid w:val="6ADE74F0"/>
    <w:rsid w:val="6B1002C0"/>
    <w:rsid w:val="6B723594"/>
    <w:rsid w:val="6B805156"/>
    <w:rsid w:val="6BA55E41"/>
    <w:rsid w:val="6BD50977"/>
    <w:rsid w:val="6BEA2A9B"/>
    <w:rsid w:val="6C96062A"/>
    <w:rsid w:val="6C9C0875"/>
    <w:rsid w:val="6CAA3931"/>
    <w:rsid w:val="6D3933CA"/>
    <w:rsid w:val="6D7B61EC"/>
    <w:rsid w:val="6DAF113C"/>
    <w:rsid w:val="6DD049FF"/>
    <w:rsid w:val="6E09491E"/>
    <w:rsid w:val="6E0D3655"/>
    <w:rsid w:val="6E4B6B60"/>
    <w:rsid w:val="6E5F4465"/>
    <w:rsid w:val="6E8C54DA"/>
    <w:rsid w:val="6EF11E03"/>
    <w:rsid w:val="6F111C62"/>
    <w:rsid w:val="6F2176E5"/>
    <w:rsid w:val="6F3053CA"/>
    <w:rsid w:val="6F592303"/>
    <w:rsid w:val="6F5F5B74"/>
    <w:rsid w:val="6F740722"/>
    <w:rsid w:val="6F9B1C65"/>
    <w:rsid w:val="6FBC3A3D"/>
    <w:rsid w:val="6FD47A25"/>
    <w:rsid w:val="6FFB146E"/>
    <w:rsid w:val="701A5C74"/>
    <w:rsid w:val="706516C3"/>
    <w:rsid w:val="70896E68"/>
    <w:rsid w:val="70B23B20"/>
    <w:rsid w:val="71033E13"/>
    <w:rsid w:val="71266B64"/>
    <w:rsid w:val="715B60E9"/>
    <w:rsid w:val="715C4C76"/>
    <w:rsid w:val="71EA1FED"/>
    <w:rsid w:val="72A423E3"/>
    <w:rsid w:val="72C16204"/>
    <w:rsid w:val="730313F6"/>
    <w:rsid w:val="7307011B"/>
    <w:rsid w:val="731E1007"/>
    <w:rsid w:val="73370D24"/>
    <w:rsid w:val="7359268C"/>
    <w:rsid w:val="738E7F36"/>
    <w:rsid w:val="739503EB"/>
    <w:rsid w:val="73A05B28"/>
    <w:rsid w:val="73C07D69"/>
    <w:rsid w:val="73DD78DC"/>
    <w:rsid w:val="74B42AE4"/>
    <w:rsid w:val="750A429D"/>
    <w:rsid w:val="755D38A7"/>
    <w:rsid w:val="75614792"/>
    <w:rsid w:val="75683F3A"/>
    <w:rsid w:val="75784473"/>
    <w:rsid w:val="757E044C"/>
    <w:rsid w:val="75977BC3"/>
    <w:rsid w:val="75B161B3"/>
    <w:rsid w:val="75E470E3"/>
    <w:rsid w:val="76736B32"/>
    <w:rsid w:val="768C5345"/>
    <w:rsid w:val="76E3765E"/>
    <w:rsid w:val="76FC2AFA"/>
    <w:rsid w:val="774039BC"/>
    <w:rsid w:val="77653671"/>
    <w:rsid w:val="778546CC"/>
    <w:rsid w:val="7789225F"/>
    <w:rsid w:val="77991C2E"/>
    <w:rsid w:val="77B56730"/>
    <w:rsid w:val="77C04A8B"/>
    <w:rsid w:val="77D85DB3"/>
    <w:rsid w:val="780252A0"/>
    <w:rsid w:val="78027772"/>
    <w:rsid w:val="78A50513"/>
    <w:rsid w:val="796518DD"/>
    <w:rsid w:val="79AA0532"/>
    <w:rsid w:val="79FE1DDD"/>
    <w:rsid w:val="7A075767"/>
    <w:rsid w:val="7A0F7C72"/>
    <w:rsid w:val="7A212062"/>
    <w:rsid w:val="7A282A11"/>
    <w:rsid w:val="7AA229AE"/>
    <w:rsid w:val="7AC21562"/>
    <w:rsid w:val="7AD474A4"/>
    <w:rsid w:val="7B5350AD"/>
    <w:rsid w:val="7B697C89"/>
    <w:rsid w:val="7B8D34C3"/>
    <w:rsid w:val="7B971D84"/>
    <w:rsid w:val="7B9E1659"/>
    <w:rsid w:val="7BF32F03"/>
    <w:rsid w:val="7C1724A5"/>
    <w:rsid w:val="7C8E3CCF"/>
    <w:rsid w:val="7CA54112"/>
    <w:rsid w:val="7CCC4107"/>
    <w:rsid w:val="7CE50CE4"/>
    <w:rsid w:val="7D2E5ABF"/>
    <w:rsid w:val="7D350FA9"/>
    <w:rsid w:val="7E2142A2"/>
    <w:rsid w:val="7E5A6DFA"/>
    <w:rsid w:val="7E7B0BF2"/>
    <w:rsid w:val="7E8D75B6"/>
    <w:rsid w:val="7EB2417D"/>
    <w:rsid w:val="7EF760EE"/>
    <w:rsid w:val="7F2A21E7"/>
    <w:rsid w:val="7F456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spacing w:before="161"/>
      <w:ind w:left="120"/>
    </w:pPr>
    <w:rPr>
      <w:rFonts w:ascii="宋体" w:hAnsi="宋体" w:eastAsia="宋体" w:cs="宋体"/>
      <w:sz w:val="24"/>
      <w:lang w:val="zh-CN" w:bidi="zh-CN"/>
    </w:rPr>
  </w:style>
  <w:style w:type="paragraph" w:styleId="6">
    <w:name w:val="annotation text"/>
    <w:basedOn w:val="1"/>
    <w:semiHidden/>
    <w:unhideWhenUsed/>
    <w:qFormat/>
    <w:uiPriority w:val="99"/>
    <w:pPr>
      <w:jc w:val="left"/>
    </w:pPr>
  </w:style>
  <w:style w:type="paragraph" w:styleId="7">
    <w:name w:val="toc 3"/>
    <w:basedOn w:val="1"/>
    <w:next w:val="1"/>
    <w:unhideWhenUsed/>
    <w:qFormat/>
    <w:uiPriority w:val="39"/>
    <w:pPr>
      <w:tabs>
        <w:tab w:val="right" w:leader="dot" w:pos="8296"/>
      </w:tabs>
      <w:ind w:left="838" w:leftChars="381"/>
    </w:pPr>
    <w:rPr>
      <w:sz w:val="21"/>
      <w:szCs w:val="21"/>
    </w:rPr>
  </w:style>
  <w:style w:type="paragraph" w:styleId="8">
    <w:name w:val="Plain Text"/>
    <w:basedOn w:val="1"/>
    <w:link w:val="37"/>
    <w:qFormat/>
    <w:uiPriority w:val="0"/>
    <w:pPr>
      <w:widowControl w:val="0"/>
      <w:adjustRightInd/>
      <w:snapToGrid/>
      <w:spacing w:after="0"/>
      <w:jc w:val="both"/>
    </w:pPr>
    <w:rPr>
      <w:rFonts w:ascii="宋体" w:hAnsi="Courier New" w:eastAsia="宋体" w:cs="Times New Roman"/>
      <w:b/>
      <w:kern w:val="2"/>
      <w:sz w:val="21"/>
      <w:szCs w:val="20"/>
    </w:rPr>
  </w:style>
  <w:style w:type="paragraph" w:styleId="9">
    <w:name w:val="Balloon Text"/>
    <w:basedOn w:val="1"/>
    <w:link w:val="40"/>
    <w:semiHidden/>
    <w:unhideWhenUsed/>
    <w:qFormat/>
    <w:uiPriority w:val="99"/>
    <w:pPr>
      <w:spacing w:after="0"/>
    </w:pPr>
    <w:rPr>
      <w:sz w:val="18"/>
      <w:szCs w:val="18"/>
    </w:rPr>
  </w:style>
  <w:style w:type="paragraph" w:styleId="10">
    <w:name w:val="footer"/>
    <w:basedOn w:val="1"/>
    <w:link w:val="39"/>
    <w:unhideWhenUsed/>
    <w:qFormat/>
    <w:uiPriority w:val="99"/>
    <w:pPr>
      <w:tabs>
        <w:tab w:val="center" w:pos="4153"/>
        <w:tab w:val="right" w:pos="8306"/>
      </w:tabs>
    </w:pPr>
    <w:rPr>
      <w:sz w:val="18"/>
      <w:szCs w:val="18"/>
    </w:rPr>
  </w:style>
  <w:style w:type="paragraph" w:styleId="11">
    <w:name w:val="header"/>
    <w:basedOn w:val="1"/>
    <w:link w:val="38"/>
    <w:unhideWhenUsed/>
    <w:qFormat/>
    <w:uiPriority w:val="99"/>
    <w:pPr>
      <w:pBdr>
        <w:bottom w:val="single" w:color="auto" w:sz="6" w:space="1"/>
      </w:pBdr>
      <w:tabs>
        <w:tab w:val="center" w:pos="4153"/>
        <w:tab w:val="right" w:pos="8306"/>
      </w:tabs>
      <w:jc w:val="center"/>
    </w:pPr>
    <w:rPr>
      <w:sz w:val="18"/>
      <w:szCs w:val="18"/>
    </w:rPr>
  </w:style>
  <w:style w:type="paragraph" w:styleId="12">
    <w:name w:val="toc 1"/>
    <w:basedOn w:val="1"/>
    <w:next w:val="1"/>
    <w:semiHidden/>
    <w:unhideWhenUsed/>
    <w:qFormat/>
    <w:uiPriority w:val="39"/>
  </w:style>
  <w:style w:type="paragraph" w:styleId="13">
    <w:name w:val="toc 4"/>
    <w:basedOn w:val="1"/>
    <w:next w:val="1"/>
    <w:unhideWhenUsed/>
    <w:qFormat/>
    <w:uiPriority w:val="39"/>
    <w:pPr>
      <w:tabs>
        <w:tab w:val="right" w:leader="dot" w:pos="8296"/>
      </w:tabs>
      <w:spacing w:after="120"/>
      <w:ind w:left="1320" w:leftChars="600"/>
    </w:pPr>
  </w:style>
  <w:style w:type="paragraph" w:styleId="14">
    <w:name w:val="footnote text"/>
    <w:basedOn w:val="1"/>
    <w:semiHidden/>
    <w:unhideWhenUsed/>
    <w:qFormat/>
    <w:uiPriority w:val="99"/>
    <w:pPr>
      <w:snapToGrid w:val="0"/>
      <w:jc w:val="left"/>
    </w:pPr>
    <w:rPr>
      <w:sz w:val="18"/>
    </w:rPr>
  </w:style>
  <w:style w:type="paragraph" w:styleId="15">
    <w:name w:val="toc 2"/>
    <w:basedOn w:val="1"/>
    <w:next w:val="1"/>
    <w:unhideWhenUsed/>
    <w:qFormat/>
    <w:uiPriority w:val="39"/>
    <w:pPr>
      <w:tabs>
        <w:tab w:val="right" w:leader="dot" w:pos="8296"/>
      </w:tabs>
      <w:spacing w:after="0" w:line="360" w:lineRule="auto"/>
      <w:ind w:left="440" w:leftChars="200"/>
      <w:jc w:val="center"/>
    </w:pPr>
    <w:rPr>
      <w:rFonts w:ascii="宋体" w:hAnsi="宋体" w:eastAsia="宋体"/>
      <w:sz w:val="30"/>
      <w:szCs w:val="30"/>
    </w:rPr>
  </w:style>
  <w:style w:type="paragraph" w:styleId="16">
    <w:name w:val="Normal (Web)"/>
    <w:basedOn w:val="1"/>
    <w:link w:val="42"/>
    <w:qFormat/>
    <w:uiPriority w:val="0"/>
    <w:pPr>
      <w:widowControl w:val="0"/>
      <w:adjustRightInd/>
      <w:snapToGrid/>
      <w:spacing w:after="0"/>
      <w:jc w:val="both"/>
    </w:pPr>
    <w:rPr>
      <w:rFonts w:eastAsia="宋体" w:asciiTheme="minorHAnsi" w:hAnsiTheme="minorHAnsi"/>
      <w:kern w:val="2"/>
      <w:sz w:val="24"/>
      <w:szCs w:val="24"/>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Emphasis"/>
    <w:basedOn w:val="19"/>
    <w:qFormat/>
    <w:uiPriority w:val="20"/>
    <w:rPr>
      <w:i/>
      <w:iCs/>
    </w:rPr>
  </w:style>
  <w:style w:type="character" w:styleId="21">
    <w:name w:val="Hyperlink"/>
    <w:qFormat/>
    <w:uiPriority w:val="99"/>
    <w:rPr>
      <w:rFonts w:hint="eastAsia" w:ascii="宋体" w:hAnsi="宋体" w:eastAsia="宋体" w:cs="宋体"/>
      <w:b/>
      <w:color w:val="0031C1"/>
      <w:kern w:val="0"/>
      <w:sz w:val="18"/>
      <w:szCs w:val="18"/>
      <w:u w:val="none"/>
      <w:lang w:eastAsia="en-US"/>
    </w:rPr>
  </w:style>
  <w:style w:type="character" w:styleId="22">
    <w:name w:val="footnote reference"/>
    <w:basedOn w:val="19"/>
    <w:semiHidden/>
    <w:unhideWhenUsed/>
    <w:qFormat/>
    <w:uiPriority w:val="99"/>
    <w:rPr>
      <w:vertAlign w:val="superscript"/>
    </w:rPr>
  </w:style>
  <w:style w:type="character" w:customStyle="1" w:styleId="23">
    <w:name w:val="标题 2 字符"/>
    <w:basedOn w:val="19"/>
    <w:link w:val="3"/>
    <w:qFormat/>
    <w:uiPriority w:val="9"/>
    <w:rPr>
      <w:rFonts w:asciiTheme="majorHAnsi" w:hAnsiTheme="majorHAnsi" w:eastAsiaTheme="majorEastAsia" w:cstheme="majorBidi"/>
      <w:b/>
      <w:bCs/>
      <w:sz w:val="32"/>
      <w:szCs w:val="32"/>
    </w:rPr>
  </w:style>
  <w:style w:type="character" w:customStyle="1" w:styleId="24">
    <w:name w:val="标题 3 字符"/>
    <w:basedOn w:val="19"/>
    <w:link w:val="4"/>
    <w:qFormat/>
    <w:uiPriority w:val="9"/>
    <w:rPr>
      <w:rFonts w:ascii="Tahoma" w:hAnsi="Tahoma"/>
      <w:b/>
      <w:bCs/>
      <w:sz w:val="32"/>
      <w:szCs w:val="32"/>
    </w:rPr>
  </w:style>
  <w:style w:type="paragraph" w:styleId="25">
    <w:name w:val="List Paragraph"/>
    <w:basedOn w:val="1"/>
    <w:qFormat/>
    <w:uiPriority w:val="34"/>
    <w:pPr>
      <w:ind w:firstLine="420" w:firstLineChars="200"/>
    </w:pPr>
  </w:style>
  <w:style w:type="character" w:customStyle="1" w:styleId="26">
    <w:name w:val="标题 4 字符"/>
    <w:basedOn w:val="19"/>
    <w:link w:val="5"/>
    <w:qFormat/>
    <w:uiPriority w:val="9"/>
    <w:rPr>
      <w:rFonts w:asciiTheme="majorHAnsi" w:hAnsiTheme="majorHAnsi" w:eastAsiaTheme="majorEastAsia" w:cstheme="majorBidi"/>
      <w:b/>
      <w:bCs/>
      <w:sz w:val="28"/>
      <w:szCs w:val="28"/>
    </w:rPr>
  </w:style>
  <w:style w:type="character" w:customStyle="1" w:styleId="27">
    <w:name w:val="正文缩进2格 Char"/>
    <w:link w:val="28"/>
    <w:qFormat/>
    <w:uiPriority w:val="0"/>
    <w:rPr>
      <w:rFonts w:ascii="仿宋_GB2312" w:hAnsi="宋体" w:eastAsia="仿宋_GB2312"/>
      <w:kern w:val="2"/>
      <w:sz w:val="31"/>
    </w:rPr>
  </w:style>
  <w:style w:type="paragraph" w:customStyle="1" w:styleId="28">
    <w:name w:val="正文缩进2格"/>
    <w:basedOn w:val="1"/>
    <w:link w:val="27"/>
    <w:qFormat/>
    <w:uiPriority w:val="0"/>
    <w:pPr>
      <w:widowControl w:val="0"/>
      <w:adjustRightInd/>
      <w:snapToGrid/>
      <w:spacing w:after="0" w:line="600" w:lineRule="exact"/>
      <w:ind w:firstLine="639" w:firstLineChars="206"/>
      <w:jc w:val="both"/>
    </w:pPr>
    <w:rPr>
      <w:rFonts w:ascii="仿宋_GB2312" w:hAnsi="宋体" w:eastAsia="仿宋_GB2312"/>
      <w:kern w:val="2"/>
      <w:sz w:val="31"/>
    </w:rPr>
  </w:style>
  <w:style w:type="paragraph" w:customStyle="1" w:styleId="29">
    <w:name w:val="正文缩进4格"/>
    <w:basedOn w:val="28"/>
    <w:qFormat/>
    <w:uiPriority w:val="0"/>
    <w:pPr>
      <w:ind w:left="2" w:firstLine="538" w:firstLineChars="192"/>
    </w:pPr>
    <w:rPr>
      <w:color w:val="0000FF"/>
      <w:sz w:val="28"/>
    </w:rPr>
  </w:style>
  <w:style w:type="character" w:customStyle="1" w:styleId="30">
    <w:name w:val="正文缩进2格 Char Char"/>
    <w:qFormat/>
    <w:uiPriority w:val="0"/>
    <w:rPr>
      <w:rFonts w:ascii="仿宋_GB2312" w:hAnsi="宋体" w:eastAsia="仿宋_GB2312" w:cs="Times New Roman"/>
      <w:b/>
      <w:kern w:val="2"/>
      <w:sz w:val="31"/>
      <w:szCs w:val="28"/>
      <w:lang w:val="en-US" w:eastAsia="zh-CN" w:bidi="ar-SA"/>
    </w:rPr>
  </w:style>
  <w:style w:type="paragraph" w:customStyle="1" w:styleId="31">
    <w:name w:val="_Style 3"/>
    <w:basedOn w:val="1"/>
    <w:qFormat/>
    <w:uiPriority w:val="0"/>
    <w:pPr>
      <w:widowControl w:val="0"/>
      <w:adjustRightInd/>
      <w:snapToGrid/>
      <w:spacing w:after="0"/>
      <w:ind w:firstLine="420" w:firstLineChars="200"/>
      <w:jc w:val="both"/>
    </w:pPr>
    <w:rPr>
      <w:rFonts w:ascii="Times New Roman" w:hAnsi="Times New Roman" w:eastAsia="宋体" w:cs="Times New Roman"/>
      <w:kern w:val="2"/>
      <w:sz w:val="21"/>
      <w:szCs w:val="24"/>
    </w:rPr>
  </w:style>
  <w:style w:type="character" w:customStyle="1" w:styleId="32">
    <w:name w:val="标题1"/>
    <w:qFormat/>
    <w:uiPriority w:val="0"/>
    <w:rPr>
      <w:rFonts w:ascii="Times New Roman" w:hAnsi="Times New Roman" w:eastAsia="宋体" w:cs="Times New Roman"/>
      <w:b/>
      <w:kern w:val="0"/>
      <w:sz w:val="24"/>
      <w:szCs w:val="20"/>
      <w:lang w:eastAsia="en-US"/>
    </w:rPr>
  </w:style>
  <w:style w:type="character" w:customStyle="1" w:styleId="33">
    <w:name w:val="标题 3.1 Char"/>
    <w:link w:val="34"/>
    <w:qFormat/>
    <w:uiPriority w:val="0"/>
    <w:rPr>
      <w:rFonts w:ascii="宋体" w:hAnsi="宋体" w:eastAsia="宋体"/>
      <w:b/>
      <w:color w:val="FF0000"/>
      <w:kern w:val="2"/>
      <w:sz w:val="32"/>
    </w:rPr>
  </w:style>
  <w:style w:type="paragraph" w:customStyle="1" w:styleId="34">
    <w:name w:val="标题 3.1"/>
    <w:basedOn w:val="4"/>
    <w:link w:val="33"/>
    <w:qFormat/>
    <w:uiPriority w:val="0"/>
    <w:pPr>
      <w:widowControl w:val="0"/>
      <w:tabs>
        <w:tab w:val="left" w:pos="1440"/>
        <w:tab w:val="left" w:pos="1620"/>
      </w:tabs>
      <w:adjustRightInd/>
      <w:snapToGrid/>
      <w:spacing w:line="600" w:lineRule="exact"/>
      <w:jc w:val="both"/>
    </w:pPr>
    <w:rPr>
      <w:rFonts w:ascii="宋体" w:hAnsi="宋体" w:eastAsia="宋体"/>
      <w:bCs w:val="0"/>
      <w:color w:val="FF0000"/>
      <w:kern w:val="2"/>
      <w:szCs w:val="22"/>
    </w:rPr>
  </w:style>
  <w:style w:type="character" w:customStyle="1" w:styleId="35">
    <w:name w:val="样式 楷体_GB2312 小四"/>
    <w:qFormat/>
    <w:uiPriority w:val="0"/>
    <w:rPr>
      <w:rFonts w:ascii="楷体_GB2312" w:hAnsi="楷体_GB2312" w:eastAsia="仿宋_GB2312"/>
      <w:sz w:val="24"/>
    </w:rPr>
  </w:style>
  <w:style w:type="character" w:customStyle="1" w:styleId="36">
    <w:name w:val="纯文本 Char"/>
    <w:qFormat/>
    <w:uiPriority w:val="0"/>
    <w:rPr>
      <w:rFonts w:ascii="宋体" w:hAnsi="Courier New" w:eastAsia="宋体" w:cs="Times New Roman"/>
      <w:b/>
      <w:kern w:val="2"/>
      <w:sz w:val="21"/>
      <w:szCs w:val="20"/>
    </w:rPr>
  </w:style>
  <w:style w:type="character" w:customStyle="1" w:styleId="37">
    <w:name w:val="纯文本 字符"/>
    <w:basedOn w:val="19"/>
    <w:link w:val="8"/>
    <w:semiHidden/>
    <w:qFormat/>
    <w:uiPriority w:val="99"/>
    <w:rPr>
      <w:rFonts w:ascii="宋体" w:hAnsi="Courier New" w:eastAsia="宋体" w:cs="Courier New"/>
      <w:sz w:val="21"/>
      <w:szCs w:val="21"/>
    </w:rPr>
  </w:style>
  <w:style w:type="character" w:customStyle="1" w:styleId="38">
    <w:name w:val="页眉 字符"/>
    <w:basedOn w:val="19"/>
    <w:link w:val="11"/>
    <w:qFormat/>
    <w:uiPriority w:val="99"/>
    <w:rPr>
      <w:rFonts w:ascii="Tahoma" w:hAnsi="Tahoma"/>
      <w:sz w:val="18"/>
      <w:szCs w:val="18"/>
    </w:rPr>
  </w:style>
  <w:style w:type="character" w:customStyle="1" w:styleId="39">
    <w:name w:val="页脚 字符"/>
    <w:basedOn w:val="19"/>
    <w:link w:val="10"/>
    <w:qFormat/>
    <w:uiPriority w:val="99"/>
    <w:rPr>
      <w:rFonts w:ascii="Tahoma" w:hAnsi="Tahoma"/>
      <w:sz w:val="18"/>
      <w:szCs w:val="18"/>
    </w:rPr>
  </w:style>
  <w:style w:type="character" w:customStyle="1" w:styleId="40">
    <w:name w:val="批注框文本 字符"/>
    <w:basedOn w:val="19"/>
    <w:link w:val="9"/>
    <w:semiHidden/>
    <w:qFormat/>
    <w:uiPriority w:val="99"/>
    <w:rPr>
      <w:rFonts w:ascii="Tahoma" w:hAnsi="Tahoma"/>
      <w:sz w:val="18"/>
      <w:szCs w:val="18"/>
    </w:rPr>
  </w:style>
  <w:style w:type="paragraph" w:customStyle="1" w:styleId="41">
    <w:name w:val="Char Char2 Char"/>
    <w:basedOn w:val="1"/>
    <w:qFormat/>
    <w:uiPriority w:val="0"/>
    <w:pPr>
      <w:widowControl w:val="0"/>
      <w:adjustRightInd/>
      <w:snapToGrid/>
      <w:spacing w:after="0"/>
      <w:jc w:val="both"/>
    </w:pPr>
    <w:rPr>
      <w:rFonts w:ascii="宋体" w:hAnsi="宋体" w:eastAsia="宋体" w:cs="Times New Roman"/>
      <w:b/>
      <w:kern w:val="2"/>
      <w:sz w:val="28"/>
      <w:szCs w:val="28"/>
    </w:rPr>
  </w:style>
  <w:style w:type="character" w:customStyle="1" w:styleId="42">
    <w:name w:val="普通(网站) 字符"/>
    <w:link w:val="16"/>
    <w:qFormat/>
    <w:uiPriority w:val="0"/>
    <w:rPr>
      <w:rFonts w:eastAsia="宋体"/>
      <w:kern w:val="2"/>
      <w:sz w:val="24"/>
      <w:szCs w:val="24"/>
    </w:rPr>
  </w:style>
  <w:style w:type="paragraph" w:customStyle="1" w:styleId="43">
    <w:name w:val="列出段落1"/>
    <w:basedOn w:val="1"/>
    <w:qFormat/>
    <w:uiPriority w:val="99"/>
    <w:pPr>
      <w:widowControl w:val="0"/>
      <w:adjustRightInd/>
      <w:snapToGrid/>
      <w:spacing w:after="0" w:line="360" w:lineRule="auto"/>
      <w:ind w:firstLine="420" w:firstLineChars="200"/>
      <w:jc w:val="both"/>
    </w:pPr>
    <w:rPr>
      <w:rFonts w:ascii="Times New Roman" w:hAnsi="Times New Roman" w:eastAsia="宋体" w:cs="Times New Roman"/>
      <w:kern w:val="2"/>
      <w:sz w:val="24"/>
      <w:szCs w:val="24"/>
    </w:rPr>
  </w:style>
  <w:style w:type="character" w:customStyle="1" w:styleId="44">
    <w:name w:val="p141"/>
    <w:qFormat/>
    <w:uiPriority w:val="0"/>
    <w:rPr>
      <w:sz w:val="21"/>
      <w:szCs w:val="21"/>
    </w:rPr>
  </w:style>
  <w:style w:type="character" w:customStyle="1" w:styleId="45">
    <w:name w:val="font21"/>
    <w:basedOn w:val="19"/>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6BD83C-2A9B-4E6F-A772-FE212356A246}">
  <ds:schemaRefs/>
</ds:datastoreItem>
</file>

<file path=docProps/app.xml><?xml version="1.0" encoding="utf-8"?>
<Properties xmlns="http://schemas.openxmlformats.org/officeDocument/2006/extended-properties" xmlns:vt="http://schemas.openxmlformats.org/officeDocument/2006/docPropsVTypes">
  <Template>Normal</Template>
  <Manager>HLR</Manager>
  <Company>广东三方诚信招标有限公司东莞分公司</Company>
  <Pages>88</Pages>
  <Words>44691</Words>
  <Characters>46415</Characters>
  <Lines>253</Lines>
  <Paragraphs>71</Paragraphs>
  <TotalTime>1</TotalTime>
  <ScaleCrop>false</ScaleCrop>
  <LinksUpToDate>false</LinksUpToDate>
  <CharactersWithSpaces>48550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文件</cp:category>
  <dcterms:created xsi:type="dcterms:W3CDTF">2019-07-08T13:55:00Z</dcterms:created>
  <dc:creator>广东三方诚信招标有限公司东莞分公司</dc:creator>
  <cp:keywords>文件格式版本</cp:keywords>
  <cp:lastModifiedBy>王工</cp:lastModifiedBy>
  <cp:lastPrinted>2019-04-01T01:49:00Z</cp:lastPrinted>
  <dcterms:modified xsi:type="dcterms:W3CDTF">2022-06-02T09:19:34Z</dcterms:modified>
  <dc:subject>公开招标文件版本</dc:subject>
  <dc:title>公开招标文件版本</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7CE937F999C84D21848F85C7AB80FA42</vt:lpwstr>
  </property>
</Properties>
</file>